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eastAsia="黑体" w:cs="Times New Roman"/>
          <w:sz w:val="32"/>
          <w:szCs w:val="32"/>
          <w:highlight w:val="none"/>
        </w:rPr>
      </w:pPr>
      <w:bookmarkStart w:id="10" w:name="_GoBack"/>
    </w:p>
    <w:p>
      <w:pPr>
        <w:rPr>
          <w:rFonts w:ascii="黑体" w:eastAsia="黑体" w:cs="Times New Roman"/>
          <w:sz w:val="32"/>
          <w:szCs w:val="32"/>
          <w:highlight w:val="none"/>
        </w:rPr>
      </w:pPr>
    </w:p>
    <w:p>
      <w:pPr>
        <w:rPr>
          <w:rFonts w:ascii="黑体" w:eastAsia="黑体" w:cs="Times New Roman"/>
          <w:sz w:val="32"/>
          <w:szCs w:val="32"/>
          <w:highlight w:val="none"/>
        </w:rPr>
      </w:pPr>
    </w:p>
    <w:p>
      <w:pPr>
        <w:pStyle w:val="11"/>
        <w:jc w:val="center"/>
        <w:rPr>
          <w:rFonts w:ascii="隶书" w:hAnsi="华文中宋" w:eastAsia="隶书"/>
          <w:bCs/>
          <w:sz w:val="84"/>
          <w:szCs w:val="84"/>
          <w:highlight w:val="none"/>
        </w:rPr>
      </w:pPr>
      <w:r>
        <w:rPr>
          <w:rFonts w:hint="eastAsia" w:ascii="隶书" w:hAnsi="华文中宋" w:eastAsia="隶书"/>
          <w:sz w:val="84"/>
          <w:szCs w:val="84"/>
          <w:highlight w:val="none"/>
        </w:rPr>
        <w:t>政府采购</w:t>
      </w:r>
    </w:p>
    <w:p>
      <w:pPr>
        <w:pStyle w:val="11"/>
        <w:adjustRightInd w:val="0"/>
        <w:snapToGrid w:val="0"/>
        <w:spacing w:line="360" w:lineRule="auto"/>
        <w:jc w:val="center"/>
        <w:rPr>
          <w:rFonts w:hAnsi="宋体" w:cs="Times New Roman"/>
          <w:b/>
          <w:bCs/>
          <w:sz w:val="84"/>
          <w:szCs w:val="84"/>
          <w:highlight w:val="none"/>
        </w:rPr>
      </w:pPr>
      <w:r>
        <w:rPr>
          <w:rFonts w:hint="eastAsia" w:ascii="隶书" w:hAnsi="华文中宋" w:eastAsia="隶书"/>
          <w:sz w:val="84"/>
          <w:szCs w:val="84"/>
          <w:highlight w:val="none"/>
        </w:rPr>
        <w:t>竞争性磋商文件</w:t>
      </w:r>
    </w:p>
    <w:p>
      <w:pPr>
        <w:pStyle w:val="11"/>
        <w:adjustRightInd w:val="0"/>
        <w:snapToGrid w:val="0"/>
        <w:spacing w:before="156" w:beforeLines="50" w:line="360" w:lineRule="auto"/>
        <w:ind w:left="846" w:leftChars="403" w:firstLine="157" w:firstLineChars="49"/>
        <w:rPr>
          <w:rFonts w:cs="Times New Roman"/>
          <w:b/>
          <w:bCs/>
          <w:sz w:val="32"/>
          <w:szCs w:val="32"/>
          <w:highlight w:val="none"/>
        </w:rPr>
      </w:pPr>
    </w:p>
    <w:p>
      <w:pPr>
        <w:pStyle w:val="11"/>
        <w:adjustRightInd w:val="0"/>
        <w:snapToGrid w:val="0"/>
        <w:spacing w:line="360" w:lineRule="auto"/>
        <w:ind w:left="3207" w:leftChars="456" w:hanging="2249" w:hangingChars="700"/>
        <w:rPr>
          <w:rFonts w:hAnsi="宋体"/>
          <w:b/>
          <w:bCs/>
          <w:sz w:val="32"/>
          <w:szCs w:val="32"/>
          <w:highlight w:val="none"/>
        </w:rPr>
      </w:pPr>
      <w:r>
        <w:rPr>
          <w:rFonts w:hint="eastAsia" w:hAnsi="宋体"/>
          <w:b/>
          <w:bCs/>
          <w:sz w:val="32"/>
          <w:szCs w:val="32"/>
          <w:highlight w:val="none"/>
        </w:rPr>
        <w:t>采购项目名称：</w:t>
      </w:r>
      <w:r>
        <w:rPr>
          <w:rFonts w:hint="eastAsia" w:hAnsi="宋体"/>
          <w:b/>
          <w:bCs/>
          <w:sz w:val="32"/>
          <w:szCs w:val="32"/>
          <w:highlight w:val="none"/>
          <w:u w:val="single"/>
        </w:rPr>
        <w:t>湖南省地震局防震减灾公共服务平台项目设计服务采购</w:t>
      </w:r>
    </w:p>
    <w:p>
      <w:pPr>
        <w:pStyle w:val="11"/>
        <w:adjustRightInd w:val="0"/>
        <w:snapToGrid w:val="0"/>
        <w:spacing w:line="360" w:lineRule="auto"/>
        <w:ind w:left="846" w:leftChars="403" w:firstLine="157" w:firstLineChars="49"/>
        <w:rPr>
          <w:rFonts w:hAnsi="宋体"/>
          <w:b/>
          <w:bCs/>
          <w:sz w:val="32"/>
          <w:szCs w:val="32"/>
          <w:highlight w:val="none"/>
        </w:rPr>
      </w:pPr>
      <w:r>
        <w:rPr>
          <w:rFonts w:hint="eastAsia" w:hAnsi="宋体"/>
          <w:b/>
          <w:bCs/>
          <w:sz w:val="32"/>
          <w:szCs w:val="32"/>
          <w:highlight w:val="none"/>
        </w:rPr>
        <w:t>采</w:t>
      </w:r>
      <w:r>
        <w:rPr>
          <w:rFonts w:hAnsi="宋体"/>
          <w:b/>
          <w:bCs/>
          <w:sz w:val="32"/>
          <w:szCs w:val="32"/>
          <w:highlight w:val="none"/>
        </w:rPr>
        <w:t xml:space="preserve">   </w:t>
      </w:r>
      <w:r>
        <w:rPr>
          <w:rFonts w:hint="eastAsia" w:hAnsi="宋体"/>
          <w:b/>
          <w:bCs/>
          <w:sz w:val="32"/>
          <w:szCs w:val="32"/>
          <w:highlight w:val="none"/>
        </w:rPr>
        <w:t>购</w:t>
      </w:r>
      <w:r>
        <w:rPr>
          <w:rFonts w:hAnsi="宋体"/>
          <w:b/>
          <w:bCs/>
          <w:sz w:val="32"/>
          <w:szCs w:val="32"/>
          <w:highlight w:val="none"/>
        </w:rPr>
        <w:t xml:space="preserve">   </w:t>
      </w:r>
      <w:r>
        <w:rPr>
          <w:rFonts w:hint="eastAsia" w:hAnsi="宋体"/>
          <w:b/>
          <w:bCs/>
          <w:sz w:val="32"/>
          <w:szCs w:val="32"/>
          <w:highlight w:val="none"/>
        </w:rPr>
        <w:t>人:</w:t>
      </w:r>
      <w:r>
        <w:rPr>
          <w:rFonts w:hint="eastAsia" w:hAnsi="宋体"/>
          <w:b/>
          <w:bCs/>
          <w:sz w:val="32"/>
          <w:szCs w:val="32"/>
          <w:highlight w:val="none"/>
          <w:u w:val="single"/>
        </w:rPr>
        <w:t>湖南省地震局</w:t>
      </w:r>
    </w:p>
    <w:p>
      <w:pPr>
        <w:pStyle w:val="11"/>
        <w:adjustRightInd w:val="0"/>
        <w:snapToGrid w:val="0"/>
        <w:spacing w:line="360" w:lineRule="auto"/>
        <w:ind w:firstLine="948" w:firstLineChars="295"/>
        <w:rPr>
          <w:rFonts w:hAnsi="宋体"/>
          <w:b/>
          <w:bCs/>
          <w:sz w:val="32"/>
          <w:szCs w:val="32"/>
          <w:highlight w:val="none"/>
          <w:u w:val="single"/>
        </w:rPr>
      </w:pPr>
      <w:r>
        <w:rPr>
          <w:rFonts w:hint="eastAsia" w:hAnsi="宋体"/>
          <w:b/>
          <w:bCs/>
          <w:sz w:val="32"/>
          <w:szCs w:val="32"/>
          <w:highlight w:val="none"/>
        </w:rPr>
        <w:t>委托代理编号</w:t>
      </w:r>
      <w:r>
        <w:rPr>
          <w:rFonts w:hAnsi="宋体"/>
          <w:b/>
          <w:bCs/>
          <w:sz w:val="32"/>
          <w:szCs w:val="32"/>
          <w:highlight w:val="none"/>
        </w:rPr>
        <w:t>:</w:t>
      </w:r>
      <w:r>
        <w:rPr>
          <w:rFonts w:hint="eastAsia" w:hAnsi="宋体"/>
          <w:b/>
          <w:bCs/>
          <w:sz w:val="32"/>
          <w:szCs w:val="32"/>
          <w:highlight w:val="none"/>
          <w:u w:val="single"/>
        </w:rPr>
        <w:t>JYCZ202101287</w:t>
      </w:r>
    </w:p>
    <w:p>
      <w:pPr>
        <w:pStyle w:val="11"/>
        <w:adjustRightInd w:val="0"/>
        <w:snapToGrid w:val="0"/>
        <w:spacing w:line="360" w:lineRule="auto"/>
        <w:ind w:firstLine="948" w:firstLineChars="295"/>
        <w:rPr>
          <w:rFonts w:hAnsi="宋体" w:cs="Times New Roman"/>
          <w:sz w:val="32"/>
          <w:szCs w:val="32"/>
          <w:highlight w:val="none"/>
        </w:rPr>
      </w:pPr>
      <w:r>
        <w:rPr>
          <w:rFonts w:hint="eastAsia" w:hAnsi="宋体"/>
          <w:b/>
          <w:bCs/>
          <w:sz w:val="32"/>
          <w:szCs w:val="32"/>
          <w:highlight w:val="none"/>
        </w:rPr>
        <w:t>采购代理机构</w:t>
      </w:r>
      <w:r>
        <w:rPr>
          <w:rFonts w:hAnsi="宋体"/>
          <w:b/>
          <w:bCs/>
          <w:sz w:val="32"/>
          <w:szCs w:val="32"/>
          <w:highlight w:val="none"/>
        </w:rPr>
        <w:t>:</w:t>
      </w:r>
      <w:r>
        <w:rPr>
          <w:rFonts w:hint="eastAsia" w:hAnsi="宋体"/>
          <w:b/>
          <w:sz w:val="32"/>
          <w:szCs w:val="32"/>
          <w:highlight w:val="none"/>
          <w:u w:val="single"/>
        </w:rPr>
        <w:t>湖南建业管理咨询有限公司</w:t>
      </w:r>
    </w:p>
    <w:p>
      <w:pPr>
        <w:pStyle w:val="11"/>
        <w:adjustRightInd w:val="0"/>
        <w:snapToGrid w:val="0"/>
        <w:spacing w:before="156" w:beforeLines="50" w:line="360" w:lineRule="auto"/>
        <w:ind w:firstLine="948" w:firstLineChars="295"/>
        <w:rPr>
          <w:rFonts w:cs="Times New Roman"/>
          <w:b/>
          <w:bCs/>
          <w:sz w:val="32"/>
          <w:szCs w:val="32"/>
          <w:highlight w:val="none"/>
        </w:rPr>
      </w:pPr>
    </w:p>
    <w:p>
      <w:pPr>
        <w:pStyle w:val="11"/>
        <w:adjustRightInd w:val="0"/>
        <w:snapToGrid w:val="0"/>
        <w:spacing w:before="156" w:beforeLines="50" w:line="360" w:lineRule="auto"/>
        <w:ind w:firstLine="948" w:firstLineChars="295"/>
        <w:rPr>
          <w:rFonts w:cs="Times New Roman"/>
          <w:b/>
          <w:bCs/>
          <w:sz w:val="32"/>
          <w:szCs w:val="32"/>
          <w:highlight w:val="none"/>
        </w:rPr>
      </w:pPr>
    </w:p>
    <w:p>
      <w:pPr>
        <w:pStyle w:val="11"/>
        <w:adjustRightInd w:val="0"/>
        <w:snapToGrid w:val="0"/>
        <w:spacing w:line="360" w:lineRule="auto"/>
        <w:jc w:val="center"/>
        <w:rPr>
          <w:rFonts w:ascii="仿宋_GB2312" w:hAnsi="宋体" w:eastAsia="Times New Roman" w:cs="Times New Roman"/>
          <w:b/>
          <w:bCs/>
          <w:sz w:val="32"/>
          <w:szCs w:val="32"/>
          <w:highlight w:val="none"/>
        </w:rPr>
      </w:pPr>
    </w:p>
    <w:p>
      <w:pPr>
        <w:pStyle w:val="11"/>
        <w:adjustRightInd w:val="0"/>
        <w:snapToGrid w:val="0"/>
        <w:spacing w:line="360" w:lineRule="auto"/>
        <w:rPr>
          <w:rFonts w:ascii="仿宋_GB2312" w:hAnsi="宋体" w:eastAsia="Times New Roman" w:cs="Times New Roman"/>
          <w:b/>
          <w:bCs/>
          <w:sz w:val="32"/>
          <w:szCs w:val="32"/>
          <w:highlight w:val="none"/>
        </w:rPr>
      </w:pPr>
    </w:p>
    <w:p>
      <w:pPr>
        <w:pStyle w:val="11"/>
        <w:adjustRightInd w:val="0"/>
        <w:snapToGrid w:val="0"/>
        <w:spacing w:line="360" w:lineRule="auto"/>
        <w:jc w:val="center"/>
        <w:rPr>
          <w:rFonts w:hAnsi="宋体" w:cs="Times New Roman"/>
          <w:b/>
          <w:bCs/>
          <w:sz w:val="32"/>
          <w:szCs w:val="32"/>
          <w:highlight w:val="none"/>
        </w:rPr>
      </w:pPr>
      <w:r>
        <w:rPr>
          <w:rFonts w:hAnsi="宋体"/>
          <w:b/>
          <w:bCs/>
          <w:sz w:val="32"/>
          <w:szCs w:val="32"/>
          <w:highlight w:val="none"/>
        </w:rPr>
        <w:t>20</w:t>
      </w:r>
      <w:r>
        <w:rPr>
          <w:rFonts w:hint="eastAsia" w:hAnsi="宋体"/>
          <w:b/>
          <w:bCs/>
          <w:sz w:val="32"/>
          <w:szCs w:val="32"/>
          <w:highlight w:val="none"/>
        </w:rPr>
        <w:t>21年12月</w:t>
      </w:r>
    </w:p>
    <w:p>
      <w:pPr>
        <w:pStyle w:val="11"/>
        <w:adjustRightInd w:val="0"/>
        <w:snapToGrid w:val="0"/>
        <w:spacing w:line="360" w:lineRule="auto"/>
        <w:jc w:val="center"/>
        <w:rPr>
          <w:rFonts w:hAnsi="宋体" w:cs="Times New Roman"/>
          <w:b/>
          <w:bCs/>
          <w:sz w:val="32"/>
          <w:szCs w:val="32"/>
          <w:highlight w:val="none"/>
        </w:rPr>
      </w:pPr>
    </w:p>
    <w:p>
      <w:pPr>
        <w:pStyle w:val="11"/>
        <w:adjustRightInd w:val="0"/>
        <w:snapToGrid w:val="0"/>
        <w:spacing w:line="360" w:lineRule="auto"/>
        <w:jc w:val="center"/>
        <w:rPr>
          <w:rFonts w:hAnsi="宋体" w:cs="Times New Roman"/>
          <w:spacing w:val="160"/>
          <w:sz w:val="36"/>
          <w:szCs w:val="36"/>
          <w:highlight w:val="none"/>
        </w:rPr>
      </w:pPr>
      <w:r>
        <w:rPr>
          <w:rFonts w:hAnsi="宋体" w:cs="方正小标宋_GBK"/>
          <w:spacing w:val="160"/>
          <w:sz w:val="36"/>
          <w:szCs w:val="36"/>
          <w:highlight w:val="none"/>
        </w:rPr>
        <w:br w:type="page"/>
      </w:r>
      <w:r>
        <w:rPr>
          <w:rFonts w:hint="eastAsia" w:hAnsi="宋体" w:cs="方正小标宋_GBK"/>
          <w:spacing w:val="160"/>
          <w:sz w:val="36"/>
          <w:szCs w:val="36"/>
          <w:highlight w:val="none"/>
        </w:rPr>
        <w:t>目录</w:t>
      </w:r>
    </w:p>
    <w:p>
      <w:pPr>
        <w:pStyle w:val="11"/>
        <w:adjustRightInd w:val="0"/>
        <w:snapToGrid w:val="0"/>
        <w:spacing w:line="360" w:lineRule="auto"/>
        <w:rPr>
          <w:rFonts w:hAnsi="宋体" w:cs="Times New Roman"/>
          <w:b/>
          <w:bCs/>
          <w:sz w:val="24"/>
          <w:szCs w:val="24"/>
          <w:highlight w:val="none"/>
        </w:rPr>
      </w:pPr>
    </w:p>
    <w:p>
      <w:pPr>
        <w:pStyle w:val="11"/>
        <w:adjustRightInd w:val="0"/>
        <w:snapToGrid w:val="0"/>
        <w:spacing w:line="360" w:lineRule="auto"/>
        <w:rPr>
          <w:rFonts w:hAnsi="宋体" w:cs="Times New Roman"/>
          <w:b/>
          <w:bCs/>
          <w:sz w:val="24"/>
          <w:szCs w:val="24"/>
          <w:highlight w:val="none"/>
        </w:rPr>
      </w:pPr>
      <w:r>
        <w:rPr>
          <w:rFonts w:hint="eastAsia" w:hAnsi="宋体"/>
          <w:b/>
          <w:bCs/>
          <w:sz w:val="24"/>
          <w:szCs w:val="24"/>
          <w:highlight w:val="none"/>
        </w:rPr>
        <w:t>第一章磋商邀请</w:t>
      </w:r>
    </w:p>
    <w:p>
      <w:pPr>
        <w:pStyle w:val="11"/>
        <w:adjustRightInd w:val="0"/>
        <w:snapToGrid w:val="0"/>
        <w:spacing w:line="360" w:lineRule="auto"/>
        <w:rPr>
          <w:rFonts w:hAnsi="宋体" w:cs="Times New Roman"/>
          <w:b/>
          <w:bCs/>
          <w:sz w:val="24"/>
          <w:szCs w:val="24"/>
          <w:highlight w:val="none"/>
        </w:rPr>
      </w:pPr>
      <w:r>
        <w:rPr>
          <w:rFonts w:hint="eastAsia" w:hAnsi="宋体"/>
          <w:b/>
          <w:bCs/>
          <w:sz w:val="24"/>
          <w:szCs w:val="24"/>
          <w:highlight w:val="none"/>
        </w:rPr>
        <w:t>第二章磋商须知</w:t>
      </w:r>
    </w:p>
    <w:p>
      <w:pPr>
        <w:tabs>
          <w:tab w:val="left" w:pos="1440"/>
        </w:tabs>
        <w:adjustRightInd w:val="0"/>
        <w:snapToGrid w:val="0"/>
        <w:spacing w:line="360" w:lineRule="auto"/>
        <w:ind w:firstLine="420" w:firstLineChars="200"/>
        <w:rPr>
          <w:rFonts w:ascii="宋体" w:cs="Times New Roman"/>
          <w:highlight w:val="none"/>
        </w:rPr>
      </w:pPr>
      <w:r>
        <w:rPr>
          <w:rFonts w:hint="eastAsia" w:ascii="宋体" w:hAnsi="宋体" w:cs="宋体"/>
          <w:highlight w:val="none"/>
        </w:rPr>
        <w:t>磋商须知前附表</w:t>
      </w:r>
    </w:p>
    <w:p>
      <w:pPr>
        <w:tabs>
          <w:tab w:val="left" w:pos="1440"/>
        </w:tabs>
        <w:adjustRightInd w:val="0"/>
        <w:snapToGrid w:val="0"/>
        <w:spacing w:line="360" w:lineRule="auto"/>
        <w:ind w:firstLine="420" w:firstLineChars="200"/>
        <w:rPr>
          <w:rFonts w:ascii="宋体" w:cs="Times New Roman"/>
          <w:highlight w:val="none"/>
        </w:rPr>
      </w:pPr>
      <w:r>
        <w:rPr>
          <w:rFonts w:hint="eastAsia" w:ascii="宋体" w:hAnsi="宋体" w:cs="宋体"/>
          <w:highlight w:val="none"/>
        </w:rPr>
        <w:t>磋商须知正文</w:t>
      </w:r>
    </w:p>
    <w:p>
      <w:pPr>
        <w:tabs>
          <w:tab w:val="left" w:pos="1440"/>
        </w:tabs>
        <w:adjustRightInd w:val="0"/>
        <w:snapToGrid w:val="0"/>
        <w:spacing w:line="360" w:lineRule="auto"/>
        <w:ind w:firstLine="630" w:firstLineChars="300"/>
        <w:rPr>
          <w:rFonts w:ascii="宋体" w:cs="Times New Roman"/>
          <w:highlight w:val="none"/>
        </w:rPr>
      </w:pPr>
      <w:r>
        <w:rPr>
          <w:rFonts w:hint="eastAsia" w:ascii="宋体" w:hAnsi="宋体" w:cs="宋体"/>
          <w:highlight w:val="none"/>
        </w:rPr>
        <w:t>一、说明</w:t>
      </w:r>
    </w:p>
    <w:p>
      <w:pPr>
        <w:tabs>
          <w:tab w:val="left" w:pos="1440"/>
        </w:tabs>
        <w:adjustRightInd w:val="0"/>
        <w:snapToGrid w:val="0"/>
        <w:spacing w:line="360" w:lineRule="auto"/>
        <w:ind w:firstLine="630" w:firstLineChars="300"/>
        <w:rPr>
          <w:rFonts w:ascii="宋体" w:cs="Times New Roman"/>
          <w:highlight w:val="none"/>
        </w:rPr>
      </w:pPr>
      <w:r>
        <w:rPr>
          <w:rFonts w:hint="eastAsia" w:ascii="宋体" w:hAnsi="宋体" w:cs="宋体"/>
          <w:highlight w:val="none"/>
        </w:rPr>
        <w:t>二、磋商文件</w:t>
      </w:r>
    </w:p>
    <w:p>
      <w:pPr>
        <w:adjustRightInd w:val="0"/>
        <w:snapToGrid w:val="0"/>
        <w:spacing w:line="360" w:lineRule="auto"/>
        <w:ind w:firstLine="630" w:firstLineChars="300"/>
        <w:rPr>
          <w:rFonts w:ascii="宋体" w:cs="Times New Roman"/>
          <w:highlight w:val="none"/>
        </w:rPr>
      </w:pPr>
      <w:r>
        <w:rPr>
          <w:rFonts w:hint="eastAsia" w:ascii="宋体" w:hAnsi="宋体" w:cs="宋体"/>
          <w:highlight w:val="none"/>
        </w:rPr>
        <w:t>三、响应文件</w:t>
      </w:r>
    </w:p>
    <w:p>
      <w:pPr>
        <w:adjustRightInd w:val="0"/>
        <w:snapToGrid w:val="0"/>
        <w:spacing w:line="360" w:lineRule="auto"/>
        <w:ind w:firstLine="630" w:firstLineChars="300"/>
        <w:rPr>
          <w:rFonts w:ascii="宋体" w:cs="Times New Roman"/>
          <w:highlight w:val="none"/>
        </w:rPr>
      </w:pPr>
      <w:r>
        <w:rPr>
          <w:rFonts w:hint="eastAsia" w:ascii="宋体" w:hAnsi="宋体" w:cs="宋体"/>
          <w:highlight w:val="none"/>
        </w:rPr>
        <w:t>四、响应文件的递交</w:t>
      </w:r>
    </w:p>
    <w:p>
      <w:pPr>
        <w:adjustRightInd w:val="0"/>
        <w:snapToGrid w:val="0"/>
        <w:spacing w:line="360" w:lineRule="auto"/>
        <w:ind w:firstLine="630" w:firstLineChars="300"/>
        <w:rPr>
          <w:rFonts w:ascii="宋体" w:cs="Times New Roman"/>
          <w:highlight w:val="none"/>
        </w:rPr>
      </w:pPr>
      <w:r>
        <w:rPr>
          <w:rFonts w:hint="eastAsia" w:ascii="宋体" w:hAnsi="宋体" w:cs="宋体"/>
          <w:highlight w:val="none"/>
        </w:rPr>
        <w:t>五、响应文件的磋商与评审</w:t>
      </w:r>
    </w:p>
    <w:p>
      <w:pPr>
        <w:adjustRightInd w:val="0"/>
        <w:snapToGrid w:val="0"/>
        <w:spacing w:line="360" w:lineRule="auto"/>
        <w:ind w:firstLine="630" w:firstLineChars="300"/>
        <w:rPr>
          <w:rFonts w:ascii="宋体" w:cs="Times New Roman"/>
          <w:highlight w:val="none"/>
        </w:rPr>
      </w:pPr>
      <w:r>
        <w:rPr>
          <w:rFonts w:hint="eastAsia" w:ascii="宋体" w:hAnsi="宋体" w:cs="宋体"/>
          <w:highlight w:val="none"/>
        </w:rPr>
        <w:t>六、成交结果信息公布与授予合同</w:t>
      </w:r>
    </w:p>
    <w:p>
      <w:pPr>
        <w:adjustRightInd w:val="0"/>
        <w:snapToGrid w:val="0"/>
        <w:spacing w:line="360" w:lineRule="auto"/>
        <w:ind w:firstLine="630" w:firstLineChars="300"/>
        <w:jc w:val="left"/>
        <w:rPr>
          <w:rFonts w:ascii="宋体" w:cs="Times New Roman"/>
          <w:highlight w:val="none"/>
        </w:rPr>
      </w:pPr>
      <w:r>
        <w:rPr>
          <w:rFonts w:hint="eastAsia" w:ascii="宋体" w:hAnsi="宋体" w:cs="宋体"/>
          <w:highlight w:val="none"/>
        </w:rPr>
        <w:t>七、其他规定</w:t>
      </w:r>
    </w:p>
    <w:p>
      <w:pPr>
        <w:adjustRightInd w:val="0"/>
        <w:snapToGrid w:val="0"/>
        <w:spacing w:line="360" w:lineRule="auto"/>
        <w:rPr>
          <w:rFonts w:ascii="宋体" w:cs="Times New Roman"/>
          <w:b/>
          <w:bCs/>
          <w:sz w:val="24"/>
          <w:szCs w:val="24"/>
          <w:highlight w:val="none"/>
        </w:rPr>
      </w:pPr>
      <w:r>
        <w:rPr>
          <w:rFonts w:hint="eastAsia" w:ascii="宋体" w:hAnsi="宋体" w:cs="宋体"/>
          <w:b/>
          <w:bCs/>
          <w:sz w:val="24"/>
          <w:szCs w:val="24"/>
          <w:highlight w:val="none"/>
        </w:rPr>
        <w:t>第三章采购合同格式</w:t>
      </w:r>
    </w:p>
    <w:p>
      <w:pPr>
        <w:adjustRightInd w:val="0"/>
        <w:snapToGrid w:val="0"/>
        <w:spacing w:line="360" w:lineRule="auto"/>
        <w:rPr>
          <w:rFonts w:ascii="宋体" w:cs="Times New Roman"/>
          <w:b/>
          <w:bCs/>
          <w:sz w:val="24"/>
          <w:szCs w:val="24"/>
          <w:highlight w:val="none"/>
        </w:rPr>
      </w:pPr>
      <w:r>
        <w:rPr>
          <w:rFonts w:hint="eastAsia" w:ascii="宋体" w:hAnsi="宋体" w:cs="宋体"/>
          <w:b/>
          <w:bCs/>
          <w:sz w:val="24"/>
          <w:szCs w:val="24"/>
          <w:highlight w:val="none"/>
        </w:rPr>
        <w:t>第四章</w:t>
      </w:r>
      <w:r>
        <w:rPr>
          <w:rFonts w:hint="eastAsia" w:hAnsi="宋体" w:cs="宋体"/>
          <w:b/>
          <w:bCs/>
          <w:sz w:val="24"/>
          <w:szCs w:val="24"/>
          <w:highlight w:val="none"/>
        </w:rPr>
        <w:t>采购需求</w:t>
      </w:r>
    </w:p>
    <w:p>
      <w:pPr>
        <w:pStyle w:val="11"/>
        <w:adjustRightInd w:val="0"/>
        <w:snapToGrid w:val="0"/>
        <w:spacing w:line="360" w:lineRule="auto"/>
        <w:rPr>
          <w:rFonts w:hAnsi="宋体" w:cs="Times New Roman"/>
          <w:b/>
          <w:bCs/>
          <w:sz w:val="24"/>
          <w:szCs w:val="24"/>
          <w:highlight w:val="none"/>
        </w:rPr>
      </w:pPr>
      <w:r>
        <w:rPr>
          <w:rFonts w:hint="eastAsia" w:hAnsi="宋体"/>
          <w:b/>
          <w:bCs/>
          <w:sz w:val="24"/>
          <w:szCs w:val="24"/>
          <w:highlight w:val="none"/>
        </w:rPr>
        <w:t>第五章响应文件组成</w:t>
      </w:r>
    </w:p>
    <w:p>
      <w:pPr>
        <w:spacing w:line="360" w:lineRule="exact"/>
        <w:rPr>
          <w:rFonts w:ascii="黑体" w:eastAsia="黑体" w:cs="Times New Roman"/>
          <w:b/>
          <w:bCs/>
          <w:sz w:val="24"/>
          <w:szCs w:val="24"/>
          <w:highlight w:val="none"/>
        </w:rPr>
      </w:pPr>
    </w:p>
    <w:p>
      <w:pPr>
        <w:spacing w:line="360" w:lineRule="exact"/>
        <w:rPr>
          <w:rFonts w:ascii="黑体" w:eastAsia="黑体" w:cs="Times New Roman"/>
          <w:b/>
          <w:bCs/>
          <w:sz w:val="24"/>
          <w:szCs w:val="24"/>
          <w:highlight w:val="none"/>
        </w:rPr>
      </w:pPr>
    </w:p>
    <w:p>
      <w:pPr>
        <w:spacing w:line="360" w:lineRule="exact"/>
        <w:rPr>
          <w:rFonts w:ascii="黑体" w:eastAsia="黑体" w:cs="Times New Roman"/>
          <w:b/>
          <w:bCs/>
          <w:sz w:val="24"/>
          <w:szCs w:val="24"/>
          <w:highlight w:val="none"/>
        </w:rPr>
      </w:pPr>
    </w:p>
    <w:p>
      <w:pPr>
        <w:spacing w:line="360" w:lineRule="exact"/>
        <w:rPr>
          <w:rFonts w:ascii="黑体" w:eastAsia="黑体" w:cs="Times New Roman"/>
          <w:b/>
          <w:bCs/>
          <w:sz w:val="24"/>
          <w:szCs w:val="24"/>
          <w:highlight w:val="none"/>
        </w:rPr>
      </w:pPr>
    </w:p>
    <w:p>
      <w:pPr>
        <w:spacing w:line="360" w:lineRule="exact"/>
        <w:rPr>
          <w:rFonts w:ascii="黑体" w:eastAsia="黑体" w:cs="Times New Roman"/>
          <w:b/>
          <w:bCs/>
          <w:sz w:val="24"/>
          <w:szCs w:val="24"/>
          <w:highlight w:val="none"/>
        </w:rPr>
      </w:pPr>
    </w:p>
    <w:p>
      <w:pPr>
        <w:jc w:val="center"/>
        <w:rPr>
          <w:rFonts w:ascii="黑体" w:hAnsi="宋体" w:eastAsia="黑体" w:cs="Times New Roman"/>
          <w:b/>
          <w:bCs/>
          <w:sz w:val="32"/>
          <w:szCs w:val="32"/>
          <w:highlight w:val="none"/>
        </w:rPr>
      </w:pPr>
      <w:r>
        <w:rPr>
          <w:rFonts w:ascii="黑体" w:hAnsi="宋体" w:eastAsia="黑体" w:cs="Times New Roman"/>
          <w:sz w:val="32"/>
          <w:szCs w:val="32"/>
          <w:highlight w:val="none"/>
        </w:rPr>
        <w:br w:type="page"/>
      </w:r>
      <w:r>
        <w:rPr>
          <w:rFonts w:hint="eastAsia" w:ascii="黑体" w:hAnsi="宋体" w:eastAsia="黑体" w:cs="黑体"/>
          <w:b/>
          <w:bCs/>
          <w:sz w:val="32"/>
          <w:szCs w:val="32"/>
          <w:highlight w:val="none"/>
        </w:rPr>
        <w:t>第一章 磋商邀请</w:t>
      </w:r>
    </w:p>
    <w:p>
      <w:pPr>
        <w:autoSpaceDE w:val="0"/>
        <w:autoSpaceDN w:val="0"/>
        <w:adjustRightInd w:val="0"/>
        <w:snapToGrid w:val="0"/>
        <w:spacing w:line="360" w:lineRule="auto"/>
        <w:jc w:val="left"/>
        <w:rPr>
          <w:rFonts w:ascii="宋体" w:cs="Times New Roman"/>
          <w:kern w:val="0"/>
          <w:highlight w:val="none"/>
        </w:rPr>
      </w:pPr>
    </w:p>
    <w:p>
      <w:pPr>
        <w:adjustRightInd w:val="0"/>
        <w:snapToGrid w:val="0"/>
        <w:spacing w:line="360" w:lineRule="auto"/>
        <w:ind w:firstLine="525" w:firstLineChars="250"/>
        <w:rPr>
          <w:rFonts w:ascii="宋体" w:hAnsi="宋体" w:cs="Times New Roman"/>
          <w:highlight w:val="none"/>
        </w:rPr>
      </w:pPr>
      <w:r>
        <w:rPr>
          <w:rFonts w:hint="eastAsia" w:ascii="宋体" w:hAnsi="宋体" w:cs="宋体"/>
          <w:highlight w:val="none"/>
          <w:u w:val="single"/>
        </w:rPr>
        <w:t>湖南建业管理咨询有限公司</w:t>
      </w:r>
      <w:r>
        <w:rPr>
          <w:rFonts w:hint="eastAsia" w:ascii="宋体" w:hAnsi="宋体" w:cs="宋体"/>
          <w:highlight w:val="none"/>
        </w:rPr>
        <w:t>受</w:t>
      </w:r>
      <w:r>
        <w:rPr>
          <w:rFonts w:hint="eastAsia" w:ascii="宋体" w:hAnsi="宋体"/>
          <w:highlight w:val="none"/>
          <w:u w:val="single"/>
        </w:rPr>
        <w:t>湖南省地震局</w:t>
      </w:r>
      <w:r>
        <w:rPr>
          <w:rFonts w:hint="eastAsia" w:ascii="宋体" w:hAnsi="宋体" w:cs="宋体"/>
          <w:highlight w:val="none"/>
        </w:rPr>
        <w:t>的委托，对</w:t>
      </w:r>
      <w:r>
        <w:rPr>
          <w:rFonts w:hint="eastAsia" w:ascii="宋体" w:hAnsi="宋体" w:cs="宋体"/>
          <w:highlight w:val="none"/>
          <w:u w:val="single"/>
        </w:rPr>
        <w:t>湖南省地震局防震减灾公共服务平台项目设计服务采购</w:t>
      </w:r>
      <w:r>
        <w:rPr>
          <w:rFonts w:hint="eastAsia" w:ascii="宋体" w:hAnsi="宋体" w:cs="宋体"/>
          <w:highlight w:val="none"/>
        </w:rPr>
        <w:t>进行竞争性磋商采购，现采用</w:t>
      </w:r>
      <w:r>
        <w:rPr>
          <w:rFonts w:hint="eastAsia" w:ascii="宋体" w:hAnsi="宋体" w:cs="宋体"/>
          <w:highlight w:val="none"/>
          <w:u w:val="single"/>
        </w:rPr>
        <w:t>发布公告</w:t>
      </w:r>
      <w:r>
        <w:rPr>
          <w:rFonts w:hint="eastAsia" w:ascii="宋体" w:hAnsi="宋体" w:cs="宋体"/>
          <w:highlight w:val="none"/>
        </w:rPr>
        <w:t>方式，邀请符合资格条件的供应商参与竞争性磋商采购活动。</w:t>
      </w:r>
    </w:p>
    <w:p>
      <w:pPr>
        <w:adjustRightInd w:val="0"/>
        <w:snapToGrid w:val="0"/>
        <w:spacing w:line="360" w:lineRule="auto"/>
        <w:outlineLvl w:val="0"/>
        <w:rPr>
          <w:rFonts w:ascii="宋体" w:hAnsi="宋体" w:cs="Times New Roman"/>
          <w:b/>
          <w:bCs/>
          <w:highlight w:val="none"/>
        </w:rPr>
      </w:pPr>
      <w:r>
        <w:rPr>
          <w:rFonts w:hint="eastAsia" w:ascii="宋体" w:hAnsi="宋体" w:cs="宋体"/>
          <w:b/>
          <w:bCs/>
          <w:highlight w:val="none"/>
        </w:rPr>
        <w:t>一、采购项目基本概况</w:t>
      </w:r>
    </w:p>
    <w:p>
      <w:pPr>
        <w:spacing w:line="360" w:lineRule="auto"/>
        <w:rPr>
          <w:rFonts w:ascii="宋体" w:hAnsi="宋体" w:cs="宋体"/>
          <w:highlight w:val="none"/>
        </w:rPr>
      </w:pPr>
      <w:r>
        <w:rPr>
          <w:rFonts w:ascii="宋体" w:hAnsi="宋体" w:cs="宋体"/>
          <w:highlight w:val="none"/>
        </w:rPr>
        <w:t xml:space="preserve">     1</w:t>
      </w:r>
      <w:r>
        <w:rPr>
          <w:rFonts w:hint="eastAsia" w:ascii="宋体" w:hAnsi="宋体" w:cs="宋体"/>
          <w:highlight w:val="none"/>
        </w:rPr>
        <w:t>、采购项目名称：</w:t>
      </w:r>
      <w:r>
        <w:rPr>
          <w:rFonts w:hint="eastAsia" w:ascii="宋体" w:hAnsi="宋体" w:cs="宋体"/>
          <w:highlight w:val="none"/>
          <w:u w:val="single"/>
        </w:rPr>
        <w:t>湖南省地震局防震减灾公共服务平台项目设计服务采购</w:t>
      </w:r>
    </w:p>
    <w:p>
      <w:pPr>
        <w:adjustRightInd w:val="0"/>
        <w:snapToGrid w:val="0"/>
        <w:spacing w:line="360" w:lineRule="auto"/>
        <w:ind w:firstLine="525" w:firstLineChars="250"/>
        <w:rPr>
          <w:rFonts w:ascii="宋体" w:hAnsi="宋体" w:cs="宋体"/>
          <w:highlight w:val="none"/>
          <w:u w:val="single"/>
        </w:rPr>
      </w:pPr>
      <w:r>
        <w:rPr>
          <w:rFonts w:hint="eastAsia" w:ascii="宋体" w:hAnsi="宋体" w:cs="宋体"/>
          <w:highlight w:val="none"/>
        </w:rPr>
        <w:t>2、委托代理编号：</w:t>
      </w:r>
      <w:r>
        <w:rPr>
          <w:rFonts w:hint="eastAsia" w:ascii="宋体" w:hAnsi="宋体" w:cs="宋体"/>
          <w:highlight w:val="none"/>
          <w:u w:val="single"/>
        </w:rPr>
        <w:t>JYCZ202101287</w:t>
      </w:r>
    </w:p>
    <w:p>
      <w:pPr>
        <w:adjustRightInd w:val="0"/>
        <w:snapToGrid w:val="0"/>
        <w:spacing w:line="360" w:lineRule="auto"/>
        <w:ind w:firstLine="525" w:firstLineChars="250"/>
        <w:rPr>
          <w:rFonts w:ascii="宋体" w:hAnsi="宋体" w:cs="宋体"/>
          <w:highlight w:val="none"/>
        </w:rPr>
      </w:pPr>
      <w:r>
        <w:rPr>
          <w:rFonts w:hint="eastAsia" w:ascii="宋体" w:hAnsi="宋体" w:cs="宋体"/>
          <w:highlight w:val="none"/>
        </w:rPr>
        <w:t>3、采购项目标的、数量及简要规格描述或项目基本概况介绍：</w:t>
      </w:r>
    </w:p>
    <w:p>
      <w:pPr>
        <w:adjustRightInd w:val="0"/>
        <w:snapToGrid w:val="0"/>
        <w:spacing w:line="360" w:lineRule="auto"/>
        <w:ind w:firstLine="735" w:firstLineChars="350"/>
        <w:rPr>
          <w:rFonts w:ascii="宋体" w:hAnsi="宋体" w:cs="宋体"/>
          <w:highlight w:val="none"/>
          <w:u w:val="single"/>
        </w:rPr>
      </w:pPr>
      <w:r>
        <w:rPr>
          <w:rFonts w:hint="eastAsia" w:ascii="宋体" w:hAnsi="宋体" w:cs="宋体"/>
          <w:highlight w:val="none"/>
        </w:rPr>
        <w:t>详见磋商文件“第四章 采购需求”</w:t>
      </w:r>
    </w:p>
    <w:p>
      <w:pPr>
        <w:adjustRightInd w:val="0"/>
        <w:snapToGrid w:val="0"/>
        <w:spacing w:line="360" w:lineRule="auto"/>
        <w:outlineLvl w:val="0"/>
        <w:rPr>
          <w:rFonts w:ascii="宋体" w:hAnsi="宋体" w:cs="宋体"/>
          <w:highlight w:val="none"/>
          <w:u w:val="single"/>
        </w:rPr>
      </w:pPr>
      <w:r>
        <w:rPr>
          <w:rFonts w:hint="eastAsia" w:ascii="宋体" w:hAnsi="宋体" w:cs="宋体"/>
          <w:b/>
          <w:bCs/>
          <w:highlight w:val="none"/>
        </w:rPr>
        <w:t>二、采购项目预算</w:t>
      </w:r>
      <w:r>
        <w:rPr>
          <w:rFonts w:ascii="宋体" w:hAnsi="宋体" w:cs="宋体"/>
          <w:b/>
          <w:bCs/>
          <w:highlight w:val="none"/>
        </w:rPr>
        <w:t>:</w:t>
      </w:r>
      <w:r>
        <w:rPr>
          <w:rFonts w:hint="eastAsia" w:ascii="宋体" w:hAnsi="宋体" w:cs="宋体"/>
          <w:highlight w:val="none"/>
          <w:u w:val="single"/>
        </w:rPr>
        <w:t>100000.00元</w:t>
      </w:r>
    </w:p>
    <w:p>
      <w:pPr>
        <w:adjustRightInd w:val="0"/>
        <w:snapToGrid w:val="0"/>
        <w:spacing w:line="360" w:lineRule="auto"/>
        <w:outlineLvl w:val="0"/>
        <w:rPr>
          <w:rFonts w:ascii="宋体" w:hAnsi="宋体" w:cs="Times New Roman"/>
          <w:b/>
          <w:bCs/>
          <w:highlight w:val="none"/>
        </w:rPr>
      </w:pPr>
      <w:r>
        <w:rPr>
          <w:rFonts w:hint="eastAsia" w:ascii="宋体" w:hAnsi="宋体" w:cs="宋体"/>
          <w:b/>
          <w:bCs/>
          <w:highlight w:val="none"/>
        </w:rPr>
        <w:t>三、供应商资格条件：</w:t>
      </w:r>
    </w:p>
    <w:p>
      <w:pPr>
        <w:adjustRightInd w:val="0"/>
        <w:snapToGrid w:val="0"/>
        <w:spacing w:line="360" w:lineRule="auto"/>
        <w:ind w:firstLine="525" w:firstLineChars="250"/>
        <w:rPr>
          <w:rFonts w:ascii="宋体" w:hAnsi="宋体" w:cs="宋体"/>
          <w:highlight w:val="none"/>
        </w:rPr>
      </w:pPr>
      <w:bookmarkStart w:id="0" w:name="OLE_LINK2"/>
      <w:r>
        <w:rPr>
          <w:rFonts w:ascii="宋体" w:hAnsi="宋体" w:cs="宋体"/>
          <w:highlight w:val="none"/>
        </w:rPr>
        <w:t>1</w:t>
      </w:r>
      <w:r>
        <w:rPr>
          <w:rFonts w:hint="eastAsia" w:ascii="宋体" w:hAnsi="宋体" w:cs="宋体"/>
          <w:highlight w:val="none"/>
        </w:rPr>
        <w:t>、供应商基本资格条件：</w:t>
      </w:r>
      <w:bookmarkStart w:id="1" w:name="OLE_LINK7"/>
      <w:r>
        <w:rPr>
          <w:rFonts w:hint="eastAsia" w:ascii="宋体" w:hAnsi="宋体" w:cs="宋体"/>
          <w:highlight w:val="none"/>
        </w:rPr>
        <w:t>符合《中华人民共和国政府采购法》第二十二条规定的供应商条件，并提供以下资格证明材料：</w:t>
      </w:r>
    </w:p>
    <w:p>
      <w:pPr>
        <w:adjustRightInd w:val="0"/>
        <w:snapToGrid w:val="0"/>
        <w:spacing w:line="360" w:lineRule="auto"/>
        <w:ind w:firstLine="420" w:firstLineChars="200"/>
        <w:rPr>
          <w:rFonts w:ascii="宋体" w:hAnsi="宋体" w:cs="宋体"/>
          <w:highlight w:val="none"/>
        </w:rPr>
      </w:pPr>
      <w:r>
        <w:rPr>
          <w:rFonts w:hint="eastAsia" w:ascii="宋体" w:hAnsi="宋体" w:cs="宋体"/>
          <w:highlight w:val="none"/>
        </w:rPr>
        <w:t>（1）法人提交企业法人营业执照副本(或者法人登记证书)以及组织机构代码证副本复印件；</w:t>
      </w:r>
    </w:p>
    <w:p>
      <w:pPr>
        <w:adjustRightInd w:val="0"/>
        <w:snapToGrid w:val="0"/>
        <w:spacing w:line="360" w:lineRule="auto"/>
        <w:ind w:firstLine="420" w:firstLineChars="200"/>
        <w:rPr>
          <w:rFonts w:ascii="宋体" w:hAnsi="宋体" w:cs="宋体"/>
          <w:highlight w:val="none"/>
        </w:rPr>
      </w:pPr>
      <w:r>
        <w:rPr>
          <w:rFonts w:hint="eastAsia" w:ascii="宋体" w:hAnsi="宋体" w:cs="宋体"/>
          <w:highlight w:val="none"/>
        </w:rPr>
        <w:t>（2）法人提交法定代表人身份证明原件或者法定代表人授权委托书原件并附法定代表人身份证明原件，自然人提交身份证复印件；</w:t>
      </w:r>
    </w:p>
    <w:p>
      <w:pPr>
        <w:adjustRightInd w:val="0"/>
        <w:snapToGrid w:val="0"/>
        <w:spacing w:line="360" w:lineRule="auto"/>
        <w:ind w:firstLine="420" w:firstLineChars="200"/>
        <w:rPr>
          <w:rFonts w:ascii="宋体" w:hAnsi="宋体" w:cs="宋体"/>
          <w:highlight w:val="none"/>
        </w:rPr>
      </w:pPr>
      <w:r>
        <w:rPr>
          <w:rFonts w:hint="eastAsia" w:ascii="宋体" w:hAnsi="宋体" w:cs="宋体"/>
          <w:highlight w:val="none"/>
        </w:rPr>
        <w:t>（3）</w:t>
      </w:r>
      <w:bookmarkEnd w:id="0"/>
      <w:bookmarkEnd w:id="1"/>
      <w:r>
        <w:rPr>
          <w:rFonts w:hint="eastAsia" w:ascii="宋体" w:hAnsi="宋体" w:cs="宋体"/>
          <w:highlight w:val="none"/>
        </w:rPr>
        <w:t>供应商资格声明(格式)。</w:t>
      </w:r>
    </w:p>
    <w:p>
      <w:pPr>
        <w:adjustRightInd w:val="0"/>
        <w:snapToGrid w:val="0"/>
        <w:spacing w:line="360" w:lineRule="auto"/>
        <w:ind w:firstLine="420" w:firstLineChars="200"/>
        <w:rPr>
          <w:rFonts w:ascii="Times New Roman" w:hAnsi="仿宋" w:eastAsia="仿宋"/>
          <w:sz w:val="24"/>
          <w:szCs w:val="24"/>
          <w:highlight w:val="none"/>
        </w:rPr>
      </w:pPr>
      <w:r>
        <w:rPr>
          <w:rFonts w:ascii="宋体" w:hAnsi="宋体" w:cs="宋体"/>
          <w:highlight w:val="none"/>
        </w:rPr>
        <w:t>2</w:t>
      </w:r>
      <w:r>
        <w:rPr>
          <w:rFonts w:hint="eastAsia" w:ascii="宋体" w:hAnsi="宋体" w:cs="宋体"/>
          <w:highlight w:val="none"/>
        </w:rPr>
        <w:t>、供应商特定资格条件：无</w:t>
      </w:r>
      <w:r>
        <w:rPr>
          <w:rFonts w:ascii="Times New Roman" w:hAnsi="仿宋" w:eastAsia="仿宋"/>
          <w:sz w:val="24"/>
          <w:szCs w:val="24"/>
          <w:highlight w:val="none"/>
        </w:rPr>
        <w:t>。</w:t>
      </w:r>
    </w:p>
    <w:p>
      <w:pPr>
        <w:pStyle w:val="10"/>
        <w:ind w:firstLine="420" w:firstLineChars="200"/>
        <w:rPr>
          <w:rFonts w:ascii="宋体" w:hAnsi="宋体" w:cs="宋体"/>
          <w:highlight w:val="none"/>
        </w:rPr>
      </w:pPr>
      <w:r>
        <w:rPr>
          <w:rFonts w:hint="eastAsia" w:ascii="宋体" w:hAnsi="宋体" w:cs="宋体"/>
          <w:highlight w:val="none"/>
        </w:rPr>
        <w:t>3、法定代表人或者负责人为同一人或者存在控股、管理关系的两个以上供应商，不得同时参与本项目投标。</w:t>
      </w:r>
    </w:p>
    <w:p>
      <w:pPr>
        <w:adjustRightInd w:val="0"/>
        <w:snapToGrid w:val="0"/>
        <w:spacing w:line="360" w:lineRule="auto"/>
        <w:ind w:firstLine="420" w:firstLineChars="200"/>
        <w:rPr>
          <w:highlight w:val="none"/>
        </w:rPr>
      </w:pPr>
      <w:r>
        <w:rPr>
          <w:rFonts w:hint="eastAsia" w:ascii="宋体"/>
          <w:highlight w:val="none"/>
        </w:rPr>
        <w:t>4、本次采购不接受联合体投标。</w:t>
      </w:r>
    </w:p>
    <w:p>
      <w:pPr>
        <w:adjustRightInd w:val="0"/>
        <w:snapToGrid w:val="0"/>
        <w:spacing w:line="360" w:lineRule="auto"/>
        <w:rPr>
          <w:rFonts w:ascii="宋体" w:hAnsi="宋体" w:cs="Times New Roman"/>
          <w:b/>
          <w:bCs/>
          <w:highlight w:val="none"/>
        </w:rPr>
      </w:pPr>
      <w:r>
        <w:rPr>
          <w:rFonts w:hint="eastAsia" w:ascii="宋体" w:hAnsi="宋体" w:cs="宋体"/>
          <w:b/>
          <w:bCs/>
          <w:highlight w:val="none"/>
        </w:rPr>
        <w:t>四、获取磋商文件的时间、地点、方式及磋商文件售价</w:t>
      </w:r>
    </w:p>
    <w:p>
      <w:pPr>
        <w:adjustRightInd w:val="0"/>
        <w:snapToGrid w:val="0"/>
        <w:spacing w:line="360" w:lineRule="auto"/>
        <w:ind w:firstLine="420" w:firstLineChars="200"/>
        <w:rPr>
          <w:highlight w:val="none"/>
        </w:rPr>
      </w:pPr>
      <w:r>
        <w:rPr>
          <w:rFonts w:ascii="宋体" w:hAnsi="宋体" w:cs="宋体"/>
          <w:highlight w:val="none"/>
        </w:rPr>
        <w:t>1</w:t>
      </w:r>
      <w:r>
        <w:rPr>
          <w:rFonts w:hint="eastAsia" w:ascii="宋体" w:hAnsi="宋体" w:cs="宋体"/>
          <w:highlight w:val="none"/>
        </w:rPr>
        <w:t>、凡有意参加磋商采购活动的，请于</w:t>
      </w:r>
      <w:r>
        <w:rPr>
          <w:rFonts w:ascii="宋体" w:hAnsi="宋体" w:cs="宋体"/>
          <w:highlight w:val="none"/>
          <w:u w:val="single"/>
        </w:rPr>
        <w:t>20</w:t>
      </w:r>
      <w:r>
        <w:rPr>
          <w:rFonts w:hint="eastAsia" w:ascii="宋体" w:hAnsi="宋体" w:cs="宋体"/>
          <w:highlight w:val="none"/>
          <w:u w:val="single"/>
        </w:rPr>
        <w:t>21</w:t>
      </w:r>
      <w:r>
        <w:rPr>
          <w:rFonts w:hint="eastAsia" w:ascii="宋体" w:hAnsi="宋体" w:cs="宋体"/>
          <w:highlight w:val="none"/>
        </w:rPr>
        <w:t>年</w:t>
      </w:r>
      <w:r>
        <w:rPr>
          <w:rFonts w:hint="eastAsia" w:ascii="宋体" w:hAnsi="宋体" w:cs="宋体"/>
          <w:highlight w:val="none"/>
          <w:u w:val="single"/>
        </w:rPr>
        <w:t xml:space="preserve"> </w:t>
      </w:r>
      <w:r>
        <w:rPr>
          <w:rFonts w:hint="eastAsia" w:ascii="宋体" w:hAnsi="宋体" w:cs="宋体"/>
          <w:highlight w:val="none"/>
          <w:u w:val="single"/>
          <w:lang w:val="en-US" w:eastAsia="zh-CN"/>
        </w:rPr>
        <w:t>12</w:t>
      </w:r>
      <w:r>
        <w:rPr>
          <w:rFonts w:hint="eastAsia" w:ascii="宋体" w:hAnsi="宋体" w:cs="宋体"/>
          <w:highlight w:val="none"/>
          <w:u w:val="single"/>
        </w:rPr>
        <w:t xml:space="preserve"> </w:t>
      </w:r>
      <w:r>
        <w:rPr>
          <w:rFonts w:hint="eastAsia" w:ascii="宋体" w:hAnsi="宋体" w:cs="宋体"/>
          <w:highlight w:val="none"/>
        </w:rPr>
        <w:t>月</w:t>
      </w:r>
      <w:r>
        <w:rPr>
          <w:rFonts w:hint="eastAsia" w:ascii="宋体" w:hAnsi="宋体" w:cs="宋体"/>
          <w:highlight w:val="none"/>
          <w:u w:val="single"/>
        </w:rPr>
        <w:t xml:space="preserve"> </w:t>
      </w:r>
      <w:r>
        <w:rPr>
          <w:rFonts w:hint="eastAsia" w:ascii="宋体" w:hAnsi="宋体" w:cs="宋体"/>
          <w:highlight w:val="none"/>
          <w:u w:val="single"/>
          <w:lang w:val="en-US" w:eastAsia="zh-CN"/>
        </w:rPr>
        <w:t>30</w:t>
      </w:r>
      <w:r>
        <w:rPr>
          <w:rFonts w:hint="eastAsia" w:ascii="宋体" w:hAnsi="宋体" w:cs="宋体"/>
          <w:highlight w:val="none"/>
          <w:u w:val="single"/>
        </w:rPr>
        <w:t xml:space="preserve"> </w:t>
      </w:r>
      <w:r>
        <w:rPr>
          <w:rFonts w:hint="eastAsia" w:ascii="宋体" w:hAnsi="宋体" w:cs="宋体"/>
          <w:highlight w:val="none"/>
        </w:rPr>
        <w:t>日起至</w:t>
      </w:r>
      <w:r>
        <w:rPr>
          <w:rFonts w:ascii="宋体" w:hAnsi="宋体" w:cs="宋体"/>
          <w:highlight w:val="none"/>
          <w:u w:val="single"/>
        </w:rPr>
        <w:t>20</w:t>
      </w:r>
      <w:r>
        <w:rPr>
          <w:rFonts w:hint="eastAsia" w:ascii="宋体" w:hAnsi="宋体" w:cs="宋体"/>
          <w:highlight w:val="none"/>
          <w:u w:val="single"/>
        </w:rPr>
        <w:t>2</w:t>
      </w:r>
      <w:r>
        <w:rPr>
          <w:rFonts w:hint="eastAsia" w:ascii="宋体" w:hAnsi="宋体" w:cs="宋体"/>
          <w:highlight w:val="none"/>
          <w:u w:val="single"/>
          <w:lang w:val="en-US" w:eastAsia="zh-CN"/>
        </w:rPr>
        <w:t>2</w:t>
      </w:r>
      <w:r>
        <w:rPr>
          <w:rFonts w:hint="eastAsia" w:ascii="宋体" w:hAnsi="宋体" w:cs="宋体"/>
          <w:highlight w:val="none"/>
        </w:rPr>
        <w:t>年</w:t>
      </w:r>
      <w:r>
        <w:rPr>
          <w:rFonts w:hint="eastAsia" w:ascii="宋体" w:hAnsi="宋体" w:cs="宋体"/>
          <w:highlight w:val="none"/>
          <w:u w:val="single"/>
        </w:rPr>
        <w:t xml:space="preserve"> </w:t>
      </w:r>
      <w:r>
        <w:rPr>
          <w:rFonts w:hint="eastAsia" w:ascii="宋体" w:hAnsi="宋体" w:cs="宋体"/>
          <w:highlight w:val="none"/>
          <w:u w:val="single"/>
          <w:lang w:val="en-US" w:eastAsia="zh-CN"/>
        </w:rPr>
        <w:t>1</w:t>
      </w:r>
      <w:r>
        <w:rPr>
          <w:rFonts w:hint="eastAsia" w:ascii="宋体" w:hAnsi="宋体" w:cs="宋体"/>
          <w:highlight w:val="none"/>
          <w:u w:val="single"/>
        </w:rPr>
        <w:t xml:space="preserve"> </w:t>
      </w:r>
      <w:r>
        <w:rPr>
          <w:rFonts w:hint="eastAsia" w:ascii="宋体" w:hAnsi="宋体" w:cs="宋体"/>
          <w:highlight w:val="none"/>
        </w:rPr>
        <w:t xml:space="preserve">月 </w:t>
      </w:r>
      <w:r>
        <w:rPr>
          <w:rFonts w:hint="eastAsia" w:ascii="宋体" w:hAnsi="宋体" w:cs="宋体"/>
          <w:highlight w:val="none"/>
          <w:u w:val="single"/>
        </w:rPr>
        <w:t xml:space="preserve"> </w:t>
      </w:r>
      <w:r>
        <w:rPr>
          <w:rFonts w:hint="eastAsia" w:ascii="宋体" w:hAnsi="宋体" w:cs="宋体"/>
          <w:highlight w:val="none"/>
          <w:u w:val="single"/>
          <w:lang w:val="en-US" w:eastAsia="zh-CN"/>
        </w:rPr>
        <w:t>7</w:t>
      </w:r>
      <w:r>
        <w:rPr>
          <w:rFonts w:hint="eastAsia" w:ascii="宋体" w:hAnsi="宋体" w:cs="宋体"/>
          <w:highlight w:val="none"/>
          <w:u w:val="single"/>
        </w:rPr>
        <w:t xml:space="preserve"> </w:t>
      </w:r>
      <w:r>
        <w:rPr>
          <w:rFonts w:hint="eastAsia" w:ascii="宋体" w:hAnsi="宋体" w:cs="宋体"/>
          <w:highlight w:val="none"/>
        </w:rPr>
        <w:t>日(节假日除外)，每日上午9:30时至12:00时、下午13:30时至16:30时(北京时间)，持营业执照复印件、法定代表人身份证明或授权委托书(并附法定代表人身份证明)、个人身份证到</w:t>
      </w:r>
      <w:r>
        <w:rPr>
          <w:rFonts w:hint="eastAsia"/>
          <w:highlight w:val="none"/>
        </w:rPr>
        <w:t>在</w:t>
      </w:r>
      <w:r>
        <w:rPr>
          <w:rFonts w:hint="eastAsia" w:hAnsi="宋体"/>
          <w:highlight w:val="none"/>
          <w:u w:val="single"/>
        </w:rPr>
        <w:t>长沙市雨花区时代阳光大道西388号轻盐阳光城一栋A座10楼1</w:t>
      </w:r>
      <w:r>
        <w:rPr>
          <w:rFonts w:hAnsi="宋体"/>
          <w:highlight w:val="none"/>
          <w:u w:val="single"/>
        </w:rPr>
        <w:t>011</w:t>
      </w:r>
      <w:r>
        <w:rPr>
          <w:rFonts w:hint="eastAsia"/>
          <w:highlight w:val="none"/>
        </w:rPr>
        <w:t>购买</w:t>
      </w:r>
      <w:r>
        <w:rPr>
          <w:rFonts w:hint="eastAsia"/>
          <w:highlight w:val="none"/>
          <w:lang w:val="en-US" w:eastAsia="zh-CN"/>
        </w:rPr>
        <w:t>采购</w:t>
      </w:r>
      <w:r>
        <w:rPr>
          <w:rFonts w:hint="eastAsia"/>
          <w:highlight w:val="none"/>
        </w:rPr>
        <w:t>文件。</w:t>
      </w:r>
    </w:p>
    <w:p>
      <w:pPr>
        <w:adjustRightInd w:val="0"/>
        <w:snapToGrid w:val="0"/>
        <w:spacing w:line="360" w:lineRule="auto"/>
        <w:ind w:firstLine="420" w:firstLineChars="200"/>
        <w:rPr>
          <w:rFonts w:ascii="宋体" w:hAnsi="宋体" w:cs="Times New Roman"/>
          <w:highlight w:val="none"/>
        </w:rPr>
      </w:pPr>
      <w:r>
        <w:rPr>
          <w:highlight w:val="none"/>
        </w:rPr>
        <w:t>2</w:t>
      </w:r>
      <w:r>
        <w:rPr>
          <w:rFonts w:hint="eastAsia"/>
          <w:highlight w:val="none"/>
        </w:rPr>
        <w:t>、谈判文件每套售价</w:t>
      </w:r>
      <w:r>
        <w:rPr>
          <w:highlight w:val="none"/>
          <w:u w:val="single"/>
        </w:rPr>
        <w:t>400</w:t>
      </w:r>
      <w:r>
        <w:rPr>
          <w:rFonts w:hint="eastAsia"/>
          <w:highlight w:val="none"/>
        </w:rPr>
        <w:t>元，售后不退。</w:t>
      </w:r>
    </w:p>
    <w:p>
      <w:pPr>
        <w:adjustRightInd w:val="0"/>
        <w:snapToGrid w:val="0"/>
        <w:spacing w:line="360" w:lineRule="auto"/>
        <w:outlineLvl w:val="0"/>
        <w:rPr>
          <w:rFonts w:ascii="宋体" w:hAnsi="宋体" w:cs="Times New Roman"/>
          <w:b/>
          <w:bCs/>
          <w:highlight w:val="none"/>
        </w:rPr>
      </w:pPr>
      <w:r>
        <w:rPr>
          <w:rFonts w:hint="eastAsia" w:ascii="宋体" w:hAnsi="宋体" w:cs="宋体"/>
          <w:b/>
          <w:bCs/>
          <w:highlight w:val="none"/>
        </w:rPr>
        <w:t>五、响应文件提交的截止时间、开启时间及地点</w:t>
      </w:r>
    </w:p>
    <w:p>
      <w:pPr>
        <w:adjustRightInd w:val="0"/>
        <w:snapToGrid w:val="0"/>
        <w:spacing w:line="360" w:lineRule="auto"/>
        <w:ind w:firstLine="420" w:firstLineChars="200"/>
        <w:rPr>
          <w:rFonts w:ascii="宋体" w:hAnsi="宋体" w:cs="Times New Roman"/>
          <w:highlight w:val="none"/>
        </w:rPr>
      </w:pPr>
      <w:r>
        <w:rPr>
          <w:rFonts w:ascii="宋体" w:hAnsi="宋体" w:cs="宋体"/>
          <w:highlight w:val="none"/>
        </w:rPr>
        <w:t>1</w:t>
      </w:r>
      <w:r>
        <w:rPr>
          <w:rFonts w:hint="eastAsia" w:ascii="宋体" w:hAnsi="宋体" w:cs="宋体"/>
          <w:highlight w:val="none"/>
        </w:rPr>
        <w:t>、提交首次响应文件的截止时间为</w:t>
      </w:r>
      <w:r>
        <w:rPr>
          <w:rFonts w:ascii="宋体" w:hAnsi="宋体" w:cs="宋体"/>
          <w:highlight w:val="none"/>
          <w:u w:val="single"/>
        </w:rPr>
        <w:t>20</w:t>
      </w:r>
      <w:r>
        <w:rPr>
          <w:rFonts w:hint="eastAsia" w:ascii="宋体" w:hAnsi="宋体" w:cs="宋体"/>
          <w:highlight w:val="none"/>
          <w:u w:val="single"/>
        </w:rPr>
        <w:t>2</w:t>
      </w:r>
      <w:r>
        <w:rPr>
          <w:rFonts w:hint="eastAsia" w:ascii="宋体" w:hAnsi="宋体" w:cs="宋体"/>
          <w:highlight w:val="none"/>
          <w:u w:val="single"/>
          <w:lang w:val="en-US" w:eastAsia="zh-CN"/>
        </w:rPr>
        <w:t>2</w:t>
      </w:r>
      <w:r>
        <w:rPr>
          <w:rFonts w:hint="eastAsia" w:ascii="宋体" w:hAnsi="宋体" w:cs="宋体"/>
          <w:highlight w:val="none"/>
        </w:rPr>
        <w:t>年</w:t>
      </w:r>
      <w:r>
        <w:rPr>
          <w:rFonts w:hint="eastAsia" w:ascii="宋体" w:hAnsi="宋体" w:cs="宋体"/>
          <w:highlight w:val="none"/>
          <w:u w:val="single"/>
        </w:rPr>
        <w:t xml:space="preserve"> </w:t>
      </w:r>
      <w:r>
        <w:rPr>
          <w:rFonts w:hint="eastAsia" w:ascii="宋体" w:hAnsi="宋体" w:cs="宋体"/>
          <w:highlight w:val="none"/>
          <w:u w:val="single"/>
          <w:lang w:val="en-US" w:eastAsia="zh-CN"/>
        </w:rPr>
        <w:t>1</w:t>
      </w:r>
      <w:r>
        <w:rPr>
          <w:rFonts w:hint="eastAsia" w:ascii="宋体" w:hAnsi="宋体" w:cs="宋体"/>
          <w:highlight w:val="none"/>
          <w:u w:val="single"/>
        </w:rPr>
        <w:t xml:space="preserve"> </w:t>
      </w:r>
      <w:r>
        <w:rPr>
          <w:rFonts w:hint="eastAsia" w:ascii="宋体" w:hAnsi="宋体" w:cs="宋体"/>
          <w:highlight w:val="none"/>
        </w:rPr>
        <w:t>月</w:t>
      </w:r>
      <w:r>
        <w:rPr>
          <w:rFonts w:hint="eastAsia" w:ascii="宋体" w:hAnsi="宋体" w:cs="宋体"/>
          <w:highlight w:val="none"/>
          <w:u w:val="single"/>
        </w:rPr>
        <w:t xml:space="preserve"> </w:t>
      </w:r>
      <w:r>
        <w:rPr>
          <w:rFonts w:hint="eastAsia" w:ascii="宋体" w:hAnsi="宋体" w:cs="宋体"/>
          <w:highlight w:val="none"/>
          <w:u w:val="single"/>
          <w:lang w:val="en-US" w:eastAsia="zh-CN"/>
        </w:rPr>
        <w:t>10</w:t>
      </w:r>
      <w:r>
        <w:rPr>
          <w:rFonts w:hint="eastAsia" w:ascii="宋体" w:hAnsi="宋体" w:cs="宋体"/>
          <w:highlight w:val="none"/>
          <w:u w:val="single"/>
        </w:rPr>
        <w:t xml:space="preserve">  </w:t>
      </w:r>
      <w:r>
        <w:rPr>
          <w:rFonts w:hint="eastAsia" w:ascii="宋体" w:hAnsi="宋体" w:cs="宋体"/>
          <w:highlight w:val="none"/>
        </w:rPr>
        <w:t xml:space="preserve">日 </w:t>
      </w:r>
      <w:r>
        <w:rPr>
          <w:rFonts w:hint="eastAsia" w:ascii="宋体" w:hAnsi="宋体" w:cs="宋体"/>
          <w:highlight w:val="none"/>
          <w:u w:val="single"/>
        </w:rPr>
        <w:t xml:space="preserve"> </w:t>
      </w:r>
      <w:r>
        <w:rPr>
          <w:rFonts w:hint="eastAsia" w:ascii="宋体" w:hAnsi="宋体" w:cs="宋体"/>
          <w:highlight w:val="none"/>
          <w:u w:val="single"/>
          <w:lang w:val="en-US" w:eastAsia="zh-CN"/>
        </w:rPr>
        <w:t>09</w:t>
      </w:r>
      <w:r>
        <w:rPr>
          <w:rFonts w:hint="eastAsia" w:ascii="宋体" w:hAnsi="宋体" w:cs="宋体"/>
          <w:highlight w:val="none"/>
          <w:u w:val="single"/>
        </w:rPr>
        <w:t xml:space="preserve"> </w:t>
      </w:r>
      <w:r>
        <w:rPr>
          <w:rFonts w:hint="eastAsia" w:ascii="宋体" w:hAnsi="宋体" w:cs="宋体"/>
          <w:highlight w:val="none"/>
        </w:rPr>
        <w:t>时</w:t>
      </w:r>
      <w:r>
        <w:rPr>
          <w:rFonts w:hint="eastAsia" w:ascii="宋体" w:hAnsi="宋体" w:cs="宋体"/>
          <w:highlight w:val="none"/>
          <w:u w:val="single"/>
        </w:rPr>
        <w:t xml:space="preserve"> </w:t>
      </w:r>
      <w:r>
        <w:rPr>
          <w:rFonts w:hint="eastAsia" w:ascii="宋体" w:hAnsi="宋体" w:cs="宋体"/>
          <w:highlight w:val="none"/>
          <w:u w:val="single"/>
          <w:lang w:val="en-US" w:eastAsia="zh-CN"/>
        </w:rPr>
        <w:t>30</w:t>
      </w:r>
      <w:r>
        <w:rPr>
          <w:rFonts w:hint="eastAsia" w:ascii="宋体" w:hAnsi="宋体" w:cs="宋体"/>
          <w:highlight w:val="none"/>
          <w:u w:val="single"/>
        </w:rPr>
        <w:t xml:space="preserve"> </w:t>
      </w:r>
      <w:r>
        <w:rPr>
          <w:rFonts w:hint="eastAsia" w:ascii="宋体" w:hAnsi="宋体" w:cs="宋体"/>
          <w:highlight w:val="none"/>
        </w:rPr>
        <w:t>分（北京时间），地点为</w:t>
      </w:r>
      <w:r>
        <w:rPr>
          <w:rFonts w:hint="eastAsia" w:hAnsi="宋体"/>
          <w:highlight w:val="none"/>
          <w:u w:val="single"/>
        </w:rPr>
        <w:t>长沙市雨花区时代阳光大道西388号轻盐阳光城一栋A座10楼（见L</w:t>
      </w:r>
      <w:r>
        <w:rPr>
          <w:rFonts w:hAnsi="宋体"/>
          <w:highlight w:val="none"/>
          <w:u w:val="single"/>
        </w:rPr>
        <w:t>ED</w:t>
      </w:r>
      <w:r>
        <w:rPr>
          <w:rFonts w:hint="eastAsia" w:hAnsi="宋体"/>
          <w:highlight w:val="none"/>
          <w:u w:val="single"/>
        </w:rPr>
        <w:t>屏提示房间）</w:t>
      </w:r>
      <w:r>
        <w:rPr>
          <w:rFonts w:hint="eastAsia" w:ascii="宋体" w:hAnsi="宋体" w:cs="宋体"/>
          <w:highlight w:val="none"/>
        </w:rPr>
        <w:t>。在截止时间后送达的响应文件为无效文件，采购人、采购代理机构或者磋商小组应当拒收。</w:t>
      </w:r>
    </w:p>
    <w:p>
      <w:pPr>
        <w:tabs>
          <w:tab w:val="left" w:pos="360"/>
        </w:tabs>
        <w:adjustRightInd w:val="0"/>
        <w:snapToGrid w:val="0"/>
        <w:spacing w:line="360" w:lineRule="auto"/>
        <w:ind w:firstLine="420" w:firstLineChars="200"/>
        <w:rPr>
          <w:rFonts w:ascii="宋体" w:hAnsi="宋体" w:cs="Times New Roman"/>
          <w:highlight w:val="none"/>
        </w:rPr>
      </w:pPr>
      <w:r>
        <w:rPr>
          <w:rFonts w:ascii="宋体" w:hAnsi="宋体" w:cs="宋体"/>
          <w:highlight w:val="none"/>
        </w:rPr>
        <w:t>2</w:t>
      </w:r>
      <w:r>
        <w:rPr>
          <w:rFonts w:hint="eastAsia" w:ascii="宋体" w:hAnsi="宋体" w:cs="宋体"/>
          <w:highlight w:val="none"/>
        </w:rPr>
        <w:t>、首次响应文件的开启时间及地点与提交首次响应文件的截止时间及地点为同一时间及地点。</w:t>
      </w:r>
    </w:p>
    <w:p>
      <w:pPr>
        <w:pStyle w:val="7"/>
        <w:numPr>
          <w:ilvl w:val="0"/>
          <w:numId w:val="0"/>
        </w:numPr>
        <w:adjustRightInd w:val="0"/>
        <w:snapToGrid w:val="0"/>
        <w:rPr>
          <w:rFonts w:ascii="宋体" w:hAnsi="宋体" w:eastAsia="宋体" w:cs="宋体"/>
          <w:b/>
          <w:bCs/>
          <w:sz w:val="21"/>
          <w:szCs w:val="21"/>
          <w:highlight w:val="none"/>
        </w:rPr>
      </w:pPr>
      <w:r>
        <w:rPr>
          <w:rFonts w:hint="eastAsia" w:ascii="宋体" w:hAnsi="宋体" w:eastAsia="宋体" w:cs="宋体"/>
          <w:b/>
          <w:bCs/>
          <w:sz w:val="21"/>
          <w:szCs w:val="21"/>
          <w:highlight w:val="none"/>
        </w:rPr>
        <w:t>六、</w:t>
      </w:r>
      <w:bookmarkStart w:id="2" w:name="_Toc22201063"/>
      <w:r>
        <w:rPr>
          <w:rFonts w:hint="eastAsia" w:ascii="宋体" w:hAnsi="宋体" w:eastAsia="宋体" w:cs="宋体"/>
          <w:b/>
          <w:bCs/>
          <w:sz w:val="21"/>
          <w:szCs w:val="21"/>
          <w:highlight w:val="none"/>
        </w:rPr>
        <w:t>采购人及其委托的采购代理机构的名称、地址和联系方法</w:t>
      </w:r>
      <w:bookmarkEnd w:id="2"/>
    </w:p>
    <w:p>
      <w:pPr>
        <w:adjustRightInd w:val="0"/>
        <w:snapToGrid w:val="0"/>
        <w:spacing w:line="360" w:lineRule="auto"/>
        <w:rPr>
          <w:highlight w:val="none"/>
        </w:rPr>
      </w:pPr>
      <w:r>
        <w:rPr>
          <w:rFonts w:hint="eastAsia" w:ascii="宋体" w:hAnsi="宋体"/>
          <w:b/>
          <w:bCs/>
          <w:highlight w:val="none"/>
        </w:rPr>
        <w:t>1</w:t>
      </w:r>
      <w:r>
        <w:rPr>
          <w:rFonts w:hint="eastAsia" w:ascii="宋体" w:hAnsi="宋体"/>
          <w:highlight w:val="none"/>
        </w:rPr>
        <w:t>、</w:t>
      </w:r>
      <w:r>
        <w:rPr>
          <w:rFonts w:hint="eastAsia" w:ascii="宋体" w:hAnsi="宋体"/>
          <w:b/>
          <w:bCs/>
          <w:highlight w:val="none"/>
        </w:rPr>
        <w:t>采购人信息</w:t>
      </w:r>
    </w:p>
    <w:p>
      <w:pPr>
        <w:adjustRightInd w:val="0"/>
        <w:snapToGrid w:val="0"/>
        <w:spacing w:line="360" w:lineRule="auto"/>
        <w:rPr>
          <w:rFonts w:ascii="宋体" w:hAnsi="宋体"/>
          <w:highlight w:val="none"/>
        </w:rPr>
      </w:pPr>
      <w:r>
        <w:rPr>
          <w:rFonts w:hint="eastAsia" w:ascii="宋体" w:hAnsi="宋体"/>
          <w:highlight w:val="none"/>
        </w:rPr>
        <w:t>（1）名  称：湖南省地震局</w:t>
      </w:r>
    </w:p>
    <w:p>
      <w:pPr>
        <w:adjustRightInd w:val="0"/>
        <w:snapToGrid w:val="0"/>
        <w:spacing w:line="360" w:lineRule="auto"/>
        <w:rPr>
          <w:rFonts w:ascii="宋体" w:hAnsi="宋体"/>
          <w:highlight w:val="none"/>
        </w:rPr>
      </w:pPr>
      <w:r>
        <w:rPr>
          <w:rFonts w:hint="eastAsia" w:ascii="宋体" w:hAnsi="宋体"/>
          <w:highlight w:val="none"/>
        </w:rPr>
        <w:t>（2）地  址：长沙市雨花区中意一路326号湖南省地震局</w:t>
      </w:r>
    </w:p>
    <w:p>
      <w:pPr>
        <w:adjustRightInd w:val="0"/>
        <w:snapToGrid w:val="0"/>
        <w:spacing w:line="360" w:lineRule="auto"/>
        <w:rPr>
          <w:rFonts w:ascii="宋体" w:hAnsi="宋体"/>
          <w:highlight w:val="none"/>
        </w:rPr>
      </w:pPr>
      <w:r>
        <w:rPr>
          <w:rFonts w:hint="eastAsia" w:ascii="宋体" w:hAnsi="宋体"/>
          <w:highlight w:val="none"/>
        </w:rPr>
        <w:t>（3）联系人：胡慧扬</w:t>
      </w:r>
    </w:p>
    <w:p>
      <w:pPr>
        <w:adjustRightInd w:val="0"/>
        <w:snapToGrid w:val="0"/>
        <w:spacing w:line="360" w:lineRule="auto"/>
        <w:rPr>
          <w:rFonts w:ascii="宋体" w:hAnsi="宋体"/>
          <w:highlight w:val="none"/>
        </w:rPr>
      </w:pPr>
      <w:r>
        <w:rPr>
          <w:rFonts w:hint="eastAsia" w:ascii="宋体" w:hAnsi="宋体"/>
          <w:highlight w:val="none"/>
        </w:rPr>
        <w:t>（4）电  话：0731-85642589</w:t>
      </w:r>
    </w:p>
    <w:p>
      <w:pPr>
        <w:adjustRightInd w:val="0"/>
        <w:snapToGrid w:val="0"/>
        <w:spacing w:line="360" w:lineRule="auto"/>
        <w:rPr>
          <w:rFonts w:ascii="宋体" w:hAnsi="宋体"/>
          <w:b/>
          <w:bCs/>
          <w:highlight w:val="none"/>
        </w:rPr>
      </w:pPr>
      <w:r>
        <w:rPr>
          <w:rFonts w:hint="eastAsia" w:ascii="宋体" w:hAnsi="宋体"/>
          <w:b/>
          <w:bCs/>
          <w:highlight w:val="none"/>
        </w:rPr>
        <w:t>2</w:t>
      </w:r>
      <w:r>
        <w:rPr>
          <w:rFonts w:hint="eastAsia" w:ascii="宋体" w:hAnsi="宋体"/>
          <w:highlight w:val="none"/>
        </w:rPr>
        <w:t>、</w:t>
      </w:r>
      <w:r>
        <w:rPr>
          <w:rFonts w:hint="eastAsia" w:ascii="宋体" w:hAnsi="宋体"/>
          <w:b/>
          <w:bCs/>
          <w:highlight w:val="none"/>
        </w:rPr>
        <w:t>采购代理机构信息</w:t>
      </w:r>
    </w:p>
    <w:p>
      <w:pPr>
        <w:adjustRightInd w:val="0"/>
        <w:snapToGrid w:val="0"/>
        <w:spacing w:line="360" w:lineRule="auto"/>
        <w:rPr>
          <w:rFonts w:ascii="宋体" w:hAnsi="宋体"/>
          <w:highlight w:val="none"/>
        </w:rPr>
      </w:pPr>
      <w:r>
        <w:rPr>
          <w:rFonts w:hint="eastAsia" w:ascii="宋体" w:hAnsi="宋体"/>
          <w:highlight w:val="none"/>
        </w:rPr>
        <w:t>（1）</w:t>
      </w:r>
      <w:r>
        <w:rPr>
          <w:rFonts w:hint="eastAsia" w:ascii="宋体" w:hAnsi="宋体"/>
          <w:bCs/>
          <w:highlight w:val="none"/>
        </w:rPr>
        <w:t>名  称：</w:t>
      </w:r>
      <w:r>
        <w:rPr>
          <w:rFonts w:hint="eastAsia" w:ascii="宋体" w:hAnsi="宋体"/>
          <w:highlight w:val="none"/>
        </w:rPr>
        <w:t>湖南建业管理咨询有限公司</w:t>
      </w:r>
    </w:p>
    <w:p>
      <w:pPr>
        <w:adjustRightInd w:val="0"/>
        <w:snapToGrid w:val="0"/>
        <w:spacing w:line="360" w:lineRule="auto"/>
        <w:rPr>
          <w:rFonts w:ascii="宋体" w:hAnsi="宋体"/>
          <w:highlight w:val="none"/>
        </w:rPr>
      </w:pPr>
      <w:r>
        <w:rPr>
          <w:rFonts w:hint="eastAsia" w:ascii="宋体" w:hAnsi="宋体"/>
          <w:highlight w:val="none"/>
        </w:rPr>
        <w:t xml:space="preserve">（2）地  址：长沙市雨花区时代阳光大道西388号轻盐阳光城一栋A座10楼 </w:t>
      </w:r>
    </w:p>
    <w:p>
      <w:pPr>
        <w:adjustRightInd w:val="0"/>
        <w:snapToGrid w:val="0"/>
        <w:spacing w:line="360" w:lineRule="auto"/>
        <w:rPr>
          <w:rFonts w:ascii="宋体" w:hAnsi="宋体"/>
          <w:highlight w:val="none"/>
        </w:rPr>
      </w:pPr>
      <w:r>
        <w:rPr>
          <w:rFonts w:hint="eastAsia" w:ascii="宋体" w:hAnsi="宋体"/>
          <w:highlight w:val="none"/>
        </w:rPr>
        <w:t>（3）联系人：崔 鹏  郑晓芬  张 维</w:t>
      </w:r>
    </w:p>
    <w:p>
      <w:pPr>
        <w:adjustRightInd w:val="0"/>
        <w:snapToGrid w:val="0"/>
        <w:spacing w:line="360" w:lineRule="auto"/>
        <w:rPr>
          <w:rFonts w:ascii="宋体" w:hAnsi="宋体"/>
          <w:highlight w:val="none"/>
        </w:rPr>
      </w:pPr>
      <w:r>
        <w:rPr>
          <w:rFonts w:hint="eastAsia" w:ascii="宋体" w:hAnsi="宋体"/>
          <w:highlight w:val="none"/>
        </w:rPr>
        <w:t xml:space="preserve">（5）电  话： 0731-84405538 </w:t>
      </w:r>
    </w:p>
    <w:p>
      <w:pPr>
        <w:pStyle w:val="2"/>
        <w:rPr>
          <w:highlight w:val="none"/>
        </w:rPr>
      </w:pPr>
    </w:p>
    <w:p>
      <w:pPr>
        <w:pStyle w:val="2"/>
        <w:jc w:val="center"/>
        <w:rPr>
          <w:rFonts w:ascii="黑体" w:eastAsia="黑体" w:cs="Times New Roman"/>
          <w:b/>
          <w:bCs/>
          <w:sz w:val="32"/>
          <w:szCs w:val="32"/>
          <w:highlight w:val="none"/>
        </w:rPr>
      </w:pPr>
      <w:r>
        <w:rPr>
          <w:highlight w:val="none"/>
        </w:rPr>
        <w:br w:type="page"/>
      </w:r>
      <w:r>
        <w:rPr>
          <w:rFonts w:hint="eastAsia" w:ascii="黑体" w:eastAsia="黑体" w:cs="黑体"/>
          <w:b/>
          <w:bCs/>
          <w:sz w:val="32"/>
          <w:szCs w:val="32"/>
          <w:highlight w:val="none"/>
        </w:rPr>
        <w:t>第二章</w:t>
      </w:r>
      <w:r>
        <w:rPr>
          <w:rFonts w:ascii="黑体" w:eastAsia="黑体" w:cs="黑体"/>
          <w:b/>
          <w:bCs/>
          <w:sz w:val="32"/>
          <w:szCs w:val="32"/>
          <w:highlight w:val="none"/>
        </w:rPr>
        <w:t xml:space="preserve">  </w:t>
      </w:r>
      <w:r>
        <w:rPr>
          <w:rFonts w:hint="eastAsia" w:ascii="黑体" w:eastAsia="黑体" w:cs="黑体"/>
          <w:b/>
          <w:bCs/>
          <w:sz w:val="32"/>
          <w:szCs w:val="32"/>
          <w:highlight w:val="none"/>
        </w:rPr>
        <w:t>磋商须知</w:t>
      </w:r>
    </w:p>
    <w:p>
      <w:pPr>
        <w:pStyle w:val="11"/>
        <w:jc w:val="center"/>
        <w:rPr>
          <w:rFonts w:ascii="黑体" w:eastAsia="黑体" w:cs="Times New Roman"/>
          <w:b/>
          <w:bCs/>
          <w:sz w:val="24"/>
          <w:szCs w:val="24"/>
          <w:highlight w:val="none"/>
        </w:rPr>
      </w:pPr>
      <w:r>
        <w:rPr>
          <w:rFonts w:hint="eastAsia" w:ascii="黑体" w:eastAsia="黑体" w:cs="黑体"/>
          <w:b/>
          <w:bCs/>
          <w:sz w:val="24"/>
          <w:szCs w:val="24"/>
          <w:highlight w:val="none"/>
        </w:rPr>
        <w:t>磋商须知前附表</w:t>
      </w:r>
    </w:p>
    <w:p>
      <w:pPr>
        <w:pStyle w:val="11"/>
        <w:rPr>
          <w:rFonts w:hAnsi="宋体" w:cs="楷体_GB2312"/>
          <w:highlight w:val="none"/>
        </w:rPr>
      </w:pPr>
      <w:r>
        <w:rPr>
          <w:rFonts w:hint="eastAsia" w:ascii="楷体_GB2312" w:hAnsi="宋体" w:eastAsia="楷体_GB2312" w:cs="楷体_GB2312"/>
          <w:highlight w:val="none"/>
        </w:rPr>
        <w:t>注</w:t>
      </w:r>
      <w:r>
        <w:rPr>
          <w:rFonts w:hint="eastAsia" w:hAnsi="宋体" w:cs="楷体_GB2312"/>
          <w:highlight w:val="none"/>
        </w:rPr>
        <w:t>：请在方框□内划√选择，在“条款号”内限选一项。</w:t>
      </w:r>
    </w:p>
    <w:tbl>
      <w:tblPr>
        <w:tblStyle w:val="19"/>
        <w:tblW w:w="10126" w:type="dxa"/>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844"/>
        <w:gridCol w:w="1091"/>
        <w:gridCol w:w="7191"/>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0" w:hRule="atLeast"/>
          <w:tblHeader/>
          <w:jc w:val="center"/>
        </w:trPr>
        <w:tc>
          <w:tcPr>
            <w:tcW w:w="1844" w:type="dxa"/>
            <w:tcBorders>
              <w:top w:val="double" w:color="auto" w:sz="4" w:space="0"/>
            </w:tcBorders>
            <w:vAlign w:val="center"/>
          </w:tcPr>
          <w:p>
            <w:pPr>
              <w:adjustRightInd w:val="0"/>
              <w:snapToGrid w:val="0"/>
              <w:spacing w:line="360" w:lineRule="auto"/>
              <w:jc w:val="center"/>
              <w:rPr>
                <w:rFonts w:ascii="宋体" w:cs="Times New Roman"/>
                <w:b/>
                <w:bCs/>
                <w:highlight w:val="none"/>
              </w:rPr>
            </w:pPr>
            <w:r>
              <w:rPr>
                <w:rFonts w:hint="eastAsia" w:ascii="宋体" w:hAnsi="宋体" w:cs="宋体"/>
                <w:b/>
                <w:bCs/>
                <w:highlight w:val="none"/>
              </w:rPr>
              <w:t>条款号</w:t>
            </w:r>
          </w:p>
        </w:tc>
        <w:tc>
          <w:tcPr>
            <w:tcW w:w="1091" w:type="dxa"/>
            <w:tcBorders>
              <w:top w:val="double" w:color="auto" w:sz="4" w:space="0"/>
            </w:tcBorders>
            <w:vAlign w:val="center"/>
          </w:tcPr>
          <w:p>
            <w:pPr>
              <w:adjustRightInd w:val="0"/>
              <w:snapToGrid w:val="0"/>
              <w:spacing w:line="360" w:lineRule="auto"/>
              <w:jc w:val="center"/>
              <w:rPr>
                <w:rFonts w:ascii="宋体" w:cs="Times New Roman"/>
                <w:b/>
                <w:bCs/>
                <w:highlight w:val="none"/>
              </w:rPr>
            </w:pPr>
            <w:r>
              <w:rPr>
                <w:rFonts w:hint="eastAsia" w:ascii="宋体" w:hAnsi="宋体" w:cs="宋体"/>
                <w:b/>
                <w:bCs/>
                <w:highlight w:val="none"/>
              </w:rPr>
              <w:t>条款名称</w:t>
            </w:r>
          </w:p>
        </w:tc>
        <w:tc>
          <w:tcPr>
            <w:tcW w:w="7191" w:type="dxa"/>
            <w:tcBorders>
              <w:top w:val="double" w:color="auto" w:sz="4" w:space="0"/>
            </w:tcBorders>
            <w:vAlign w:val="center"/>
          </w:tcPr>
          <w:p>
            <w:pPr>
              <w:adjustRightInd w:val="0"/>
              <w:snapToGrid w:val="0"/>
              <w:spacing w:line="360" w:lineRule="auto"/>
              <w:jc w:val="center"/>
              <w:rPr>
                <w:rFonts w:ascii="宋体" w:cs="Times New Roman"/>
                <w:b/>
                <w:bCs/>
                <w:highlight w:val="none"/>
              </w:rPr>
            </w:pPr>
            <w:r>
              <w:rPr>
                <w:rFonts w:hint="eastAsia" w:ascii="宋体" w:hAnsi="宋体" w:cs="宋体"/>
                <w:b/>
                <w:bCs/>
                <w:highlight w:val="none"/>
              </w:rPr>
              <w:t>编列内容规定</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0" w:hRule="atLeast"/>
          <w:tblHeader/>
          <w:jc w:val="center"/>
        </w:trPr>
        <w:tc>
          <w:tcPr>
            <w:tcW w:w="10126" w:type="dxa"/>
            <w:gridSpan w:val="3"/>
            <w:vAlign w:val="center"/>
          </w:tcPr>
          <w:p>
            <w:pPr>
              <w:adjustRightInd w:val="0"/>
              <w:snapToGrid w:val="0"/>
              <w:spacing w:line="360" w:lineRule="auto"/>
              <w:rPr>
                <w:rFonts w:ascii="宋体" w:cs="Times New Roman"/>
                <w:highlight w:val="none"/>
              </w:rPr>
            </w:pPr>
            <w:r>
              <w:rPr>
                <w:rFonts w:hint="eastAsia" w:ascii="宋体" w:hAnsi="宋体" w:cs="宋体"/>
                <w:b/>
                <w:bCs/>
                <w:highlight w:val="none"/>
              </w:rPr>
              <w:t>一、说明</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0" w:hRule="atLeast"/>
          <w:tblHeader/>
          <w:jc w:val="center"/>
        </w:trPr>
        <w:tc>
          <w:tcPr>
            <w:tcW w:w="1844" w:type="dxa"/>
            <w:vAlign w:val="center"/>
          </w:tcPr>
          <w:p>
            <w:pPr>
              <w:adjustRightInd w:val="0"/>
              <w:snapToGrid w:val="0"/>
              <w:spacing w:line="360" w:lineRule="auto"/>
              <w:rPr>
                <w:rFonts w:ascii="宋体" w:cs="Times New Roman"/>
                <w:highlight w:val="none"/>
              </w:rPr>
            </w:pPr>
            <w:r>
              <w:rPr>
                <w:rFonts w:hint="eastAsia" w:ascii="宋体" w:hAnsi="宋体" w:cs="宋体"/>
                <w:highlight w:val="none"/>
              </w:rPr>
              <w:t>第二章第</w:t>
            </w:r>
            <w:r>
              <w:rPr>
                <w:rFonts w:ascii="宋体" w:hAnsi="宋体" w:cs="宋体"/>
                <w:highlight w:val="none"/>
              </w:rPr>
              <w:t>1.1</w:t>
            </w:r>
            <w:r>
              <w:rPr>
                <w:rFonts w:hint="eastAsia" w:ascii="宋体" w:hAnsi="宋体" w:cs="宋体"/>
                <w:highlight w:val="none"/>
              </w:rPr>
              <w:t>款</w:t>
            </w:r>
          </w:p>
        </w:tc>
        <w:tc>
          <w:tcPr>
            <w:tcW w:w="1091" w:type="dxa"/>
            <w:vAlign w:val="center"/>
          </w:tcPr>
          <w:p>
            <w:pPr>
              <w:adjustRightInd w:val="0"/>
              <w:snapToGrid w:val="0"/>
              <w:spacing w:line="360" w:lineRule="auto"/>
              <w:rPr>
                <w:rFonts w:ascii="宋体" w:cs="宋体"/>
                <w:highlight w:val="none"/>
              </w:rPr>
            </w:pPr>
            <w:r>
              <w:rPr>
                <w:rFonts w:hint="eastAsia" w:ascii="宋体" w:hAnsi="宋体" w:cs="宋体"/>
                <w:highlight w:val="none"/>
              </w:rPr>
              <w:t>采购项目</w:t>
            </w:r>
          </w:p>
        </w:tc>
        <w:tc>
          <w:tcPr>
            <w:tcW w:w="7191" w:type="dxa"/>
            <w:vAlign w:val="center"/>
          </w:tcPr>
          <w:p>
            <w:pPr>
              <w:adjustRightInd w:val="0"/>
              <w:snapToGrid w:val="0"/>
              <w:spacing w:line="360" w:lineRule="auto"/>
              <w:jc w:val="left"/>
              <w:rPr>
                <w:rFonts w:ascii="宋体" w:cs="宋体"/>
                <w:highlight w:val="none"/>
              </w:rPr>
            </w:pPr>
            <w:r>
              <w:rPr>
                <w:rFonts w:hint="eastAsia" w:ascii="宋体" w:hAnsi="宋体" w:cs="宋体"/>
                <w:highlight w:val="none"/>
              </w:rPr>
              <w:t>湖南省地震局防震减灾公共服务平台项目设计服务采购</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0" w:hRule="atLeast"/>
          <w:tblHeader/>
          <w:jc w:val="center"/>
        </w:trPr>
        <w:tc>
          <w:tcPr>
            <w:tcW w:w="1844" w:type="dxa"/>
            <w:vAlign w:val="center"/>
          </w:tcPr>
          <w:p>
            <w:pPr>
              <w:adjustRightInd w:val="0"/>
              <w:snapToGrid w:val="0"/>
              <w:spacing w:line="360" w:lineRule="auto"/>
              <w:jc w:val="center"/>
              <w:rPr>
                <w:rFonts w:ascii="宋体" w:cs="Times New Roman"/>
                <w:highlight w:val="none"/>
              </w:rPr>
            </w:pPr>
            <w:r>
              <w:rPr>
                <w:rFonts w:hint="eastAsia" w:ascii="宋体" w:hAnsi="宋体" w:cs="宋体"/>
                <w:highlight w:val="none"/>
              </w:rPr>
              <w:t>第二章第</w:t>
            </w:r>
            <w:r>
              <w:rPr>
                <w:rFonts w:ascii="宋体" w:hAnsi="宋体" w:cs="宋体"/>
                <w:highlight w:val="none"/>
              </w:rPr>
              <w:t>2.1</w:t>
            </w:r>
            <w:r>
              <w:rPr>
                <w:rFonts w:hint="eastAsia" w:ascii="宋体" w:hAnsi="宋体" w:cs="宋体"/>
                <w:highlight w:val="none"/>
              </w:rPr>
              <w:t>款</w:t>
            </w:r>
          </w:p>
        </w:tc>
        <w:tc>
          <w:tcPr>
            <w:tcW w:w="1091" w:type="dxa"/>
            <w:vAlign w:val="center"/>
          </w:tcPr>
          <w:p>
            <w:pPr>
              <w:adjustRightInd w:val="0"/>
              <w:snapToGrid w:val="0"/>
              <w:spacing w:line="360" w:lineRule="auto"/>
              <w:rPr>
                <w:rFonts w:ascii="宋体" w:cs="Times New Roman"/>
                <w:highlight w:val="none"/>
              </w:rPr>
            </w:pPr>
            <w:r>
              <w:rPr>
                <w:rFonts w:hint="eastAsia" w:ascii="宋体" w:hAnsi="宋体" w:cs="宋体"/>
                <w:highlight w:val="none"/>
              </w:rPr>
              <w:t>采购人</w:t>
            </w:r>
          </w:p>
        </w:tc>
        <w:tc>
          <w:tcPr>
            <w:tcW w:w="7191" w:type="dxa"/>
            <w:vAlign w:val="center"/>
          </w:tcPr>
          <w:p>
            <w:pPr>
              <w:adjustRightInd w:val="0"/>
              <w:snapToGrid w:val="0"/>
              <w:spacing w:line="360" w:lineRule="auto"/>
              <w:rPr>
                <w:rFonts w:ascii="宋体" w:hAnsi="宋体"/>
                <w:highlight w:val="none"/>
              </w:rPr>
            </w:pPr>
            <w:r>
              <w:rPr>
                <w:rFonts w:hint="eastAsia" w:ascii="宋体" w:hAnsi="宋体"/>
                <w:highlight w:val="none"/>
              </w:rPr>
              <w:t>采 购 人：湖南省地震局</w:t>
            </w:r>
          </w:p>
          <w:p>
            <w:pPr>
              <w:adjustRightInd w:val="0"/>
              <w:snapToGrid w:val="0"/>
              <w:spacing w:line="360" w:lineRule="auto"/>
              <w:rPr>
                <w:rFonts w:ascii="宋体" w:hAnsi="宋体"/>
                <w:highlight w:val="none"/>
              </w:rPr>
            </w:pPr>
            <w:r>
              <w:rPr>
                <w:rFonts w:hint="eastAsia" w:ascii="宋体" w:hAnsi="宋体"/>
                <w:highlight w:val="none"/>
              </w:rPr>
              <w:t>地    址：长沙市雨花区中意一路326号湖南省地震局</w:t>
            </w:r>
          </w:p>
          <w:p>
            <w:pPr>
              <w:adjustRightInd w:val="0"/>
              <w:snapToGrid w:val="0"/>
              <w:spacing w:line="360" w:lineRule="auto"/>
              <w:rPr>
                <w:rFonts w:ascii="宋体" w:hAnsi="宋体"/>
                <w:highlight w:val="none"/>
              </w:rPr>
            </w:pPr>
            <w:r>
              <w:rPr>
                <w:rFonts w:hint="eastAsia" w:ascii="宋体" w:hAnsi="宋体"/>
                <w:highlight w:val="none"/>
              </w:rPr>
              <w:t>联 系 人：胡慧扬</w:t>
            </w:r>
          </w:p>
          <w:p>
            <w:pPr>
              <w:adjustRightInd w:val="0"/>
              <w:snapToGrid w:val="0"/>
              <w:spacing w:line="360" w:lineRule="auto"/>
              <w:rPr>
                <w:rFonts w:ascii="宋体" w:cs="宋体"/>
                <w:highlight w:val="none"/>
              </w:rPr>
            </w:pPr>
            <w:r>
              <w:rPr>
                <w:rFonts w:hint="eastAsia" w:ascii="宋体" w:hAnsi="宋体"/>
                <w:highlight w:val="none"/>
              </w:rPr>
              <w:t>联系电话：</w:t>
            </w:r>
            <w:r>
              <w:rPr>
                <w:rFonts w:hint="eastAsia" w:hAnsi="宋体"/>
                <w:highlight w:val="none"/>
              </w:rPr>
              <w:t>0731-85642589</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657" w:hRule="atLeast"/>
          <w:tblHeader/>
          <w:jc w:val="center"/>
        </w:trPr>
        <w:tc>
          <w:tcPr>
            <w:tcW w:w="1844" w:type="dxa"/>
            <w:vAlign w:val="center"/>
          </w:tcPr>
          <w:p>
            <w:pPr>
              <w:adjustRightInd w:val="0"/>
              <w:snapToGrid w:val="0"/>
              <w:jc w:val="center"/>
              <w:rPr>
                <w:rFonts w:ascii="宋体" w:cs="Times New Roman"/>
                <w:highlight w:val="none"/>
              </w:rPr>
            </w:pPr>
            <w:r>
              <w:rPr>
                <w:rFonts w:hint="eastAsia" w:ascii="宋体" w:hAnsi="宋体" w:cs="宋体"/>
                <w:highlight w:val="none"/>
              </w:rPr>
              <w:t>第二章第</w:t>
            </w:r>
            <w:r>
              <w:rPr>
                <w:rFonts w:ascii="宋体" w:hAnsi="宋体" w:cs="宋体"/>
                <w:highlight w:val="none"/>
              </w:rPr>
              <w:t>2.2</w:t>
            </w:r>
            <w:r>
              <w:rPr>
                <w:rFonts w:hint="eastAsia" w:ascii="宋体" w:hAnsi="宋体" w:cs="宋体"/>
                <w:highlight w:val="none"/>
              </w:rPr>
              <w:t>款</w:t>
            </w:r>
          </w:p>
        </w:tc>
        <w:tc>
          <w:tcPr>
            <w:tcW w:w="1091" w:type="dxa"/>
            <w:vAlign w:val="center"/>
          </w:tcPr>
          <w:p>
            <w:pPr>
              <w:adjustRightInd w:val="0"/>
              <w:snapToGrid w:val="0"/>
              <w:rPr>
                <w:rFonts w:ascii="宋体" w:cs="Times New Roman"/>
                <w:highlight w:val="none"/>
              </w:rPr>
            </w:pPr>
            <w:r>
              <w:rPr>
                <w:rFonts w:hint="eastAsia" w:ascii="宋体" w:hAnsi="宋体" w:cs="宋体"/>
                <w:highlight w:val="none"/>
              </w:rPr>
              <w:t>采购代理机构</w:t>
            </w:r>
          </w:p>
        </w:tc>
        <w:tc>
          <w:tcPr>
            <w:tcW w:w="7191" w:type="dxa"/>
            <w:vAlign w:val="center"/>
          </w:tcPr>
          <w:p>
            <w:pPr>
              <w:adjustRightInd w:val="0"/>
              <w:snapToGrid w:val="0"/>
              <w:spacing w:line="360" w:lineRule="auto"/>
              <w:rPr>
                <w:rFonts w:ascii="宋体" w:hAnsi="宋体"/>
                <w:highlight w:val="none"/>
              </w:rPr>
            </w:pPr>
            <w:r>
              <w:rPr>
                <w:rFonts w:hint="eastAsia" w:ascii="宋体" w:hAnsi="宋体"/>
                <w:highlight w:val="none"/>
              </w:rPr>
              <w:t>采购代理机构：湖南建业管理咨询有限公司</w:t>
            </w:r>
          </w:p>
          <w:p>
            <w:pPr>
              <w:adjustRightInd w:val="0"/>
              <w:snapToGrid w:val="0"/>
              <w:spacing w:line="360" w:lineRule="auto"/>
              <w:rPr>
                <w:rFonts w:ascii="宋体" w:hAnsi="宋体"/>
                <w:highlight w:val="none"/>
              </w:rPr>
            </w:pPr>
            <w:r>
              <w:rPr>
                <w:rFonts w:hint="eastAsia" w:ascii="宋体" w:hAnsi="宋体"/>
                <w:highlight w:val="none"/>
              </w:rPr>
              <w:t>地    址：长沙市雨花区时代阳光大道西388号轻盐阳光城1栋A座10层</w:t>
            </w:r>
          </w:p>
          <w:p>
            <w:pPr>
              <w:adjustRightInd w:val="0"/>
              <w:snapToGrid w:val="0"/>
              <w:spacing w:line="360" w:lineRule="auto"/>
              <w:rPr>
                <w:rFonts w:ascii="宋体" w:hAnsi="宋体"/>
                <w:highlight w:val="none"/>
              </w:rPr>
            </w:pPr>
            <w:r>
              <w:rPr>
                <w:rFonts w:hint="eastAsia" w:ascii="宋体" w:hAnsi="宋体"/>
                <w:highlight w:val="none"/>
              </w:rPr>
              <w:t>联 系 人：崔 鹏  郑晓芬  张 维</w:t>
            </w:r>
          </w:p>
          <w:p>
            <w:pPr>
              <w:adjustRightInd w:val="0"/>
              <w:snapToGrid w:val="0"/>
              <w:spacing w:line="360" w:lineRule="auto"/>
              <w:rPr>
                <w:rFonts w:ascii="宋体" w:cs="宋体"/>
                <w:highlight w:val="none"/>
              </w:rPr>
            </w:pPr>
            <w:r>
              <w:rPr>
                <w:rFonts w:hint="eastAsia" w:ascii="宋体" w:hAnsi="宋体"/>
                <w:highlight w:val="none"/>
              </w:rPr>
              <w:t>联系电话：0731-84405538</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0" w:hRule="atLeast"/>
          <w:tblHeader/>
          <w:jc w:val="center"/>
        </w:trPr>
        <w:tc>
          <w:tcPr>
            <w:tcW w:w="1844" w:type="dxa"/>
            <w:vAlign w:val="center"/>
          </w:tcPr>
          <w:p>
            <w:pPr>
              <w:adjustRightInd w:val="0"/>
              <w:snapToGrid w:val="0"/>
              <w:jc w:val="center"/>
              <w:rPr>
                <w:rFonts w:ascii="宋体" w:cs="Times New Roman"/>
                <w:highlight w:val="none"/>
              </w:rPr>
            </w:pPr>
            <w:r>
              <w:rPr>
                <w:rFonts w:hint="eastAsia" w:ascii="宋体" w:hAnsi="宋体" w:cs="宋体"/>
                <w:highlight w:val="none"/>
              </w:rPr>
              <w:t>第二章第</w:t>
            </w:r>
            <w:r>
              <w:rPr>
                <w:rFonts w:ascii="宋体" w:hAnsi="宋体" w:cs="宋体"/>
                <w:highlight w:val="none"/>
              </w:rPr>
              <w:t>2.3</w:t>
            </w:r>
            <w:r>
              <w:rPr>
                <w:rFonts w:hint="eastAsia" w:ascii="宋体" w:hAnsi="宋体" w:cs="宋体"/>
                <w:highlight w:val="none"/>
              </w:rPr>
              <w:t>款</w:t>
            </w:r>
          </w:p>
        </w:tc>
        <w:tc>
          <w:tcPr>
            <w:tcW w:w="1091" w:type="dxa"/>
            <w:vAlign w:val="center"/>
          </w:tcPr>
          <w:p>
            <w:pPr>
              <w:adjustRightInd w:val="0"/>
              <w:snapToGrid w:val="0"/>
              <w:rPr>
                <w:rFonts w:ascii="宋体" w:cs="Times New Roman"/>
                <w:highlight w:val="none"/>
              </w:rPr>
            </w:pPr>
            <w:r>
              <w:rPr>
                <w:rFonts w:hint="eastAsia" w:ascii="宋体" w:hAnsi="宋体" w:cs="宋体"/>
                <w:kern w:val="0"/>
                <w:highlight w:val="none"/>
              </w:rPr>
              <w:t>供应商的</w:t>
            </w:r>
            <w:r>
              <w:rPr>
                <w:rFonts w:hint="eastAsia" w:ascii="宋体" w:hAnsi="宋体" w:cs="宋体"/>
                <w:highlight w:val="none"/>
              </w:rPr>
              <w:t>邀请方式</w:t>
            </w:r>
          </w:p>
        </w:tc>
        <w:tc>
          <w:tcPr>
            <w:tcW w:w="7191" w:type="dxa"/>
            <w:vAlign w:val="center"/>
          </w:tcPr>
          <w:p>
            <w:pPr>
              <w:adjustRightInd w:val="0"/>
              <w:snapToGrid w:val="0"/>
              <w:spacing w:line="320" w:lineRule="exact"/>
              <w:rPr>
                <w:rFonts w:ascii="宋体" w:cs="Times New Roman"/>
                <w:highlight w:val="none"/>
              </w:rPr>
            </w:pPr>
            <w:r>
              <w:rPr>
                <w:rFonts w:hint="eastAsia" w:ascii="宋体" w:hAnsi="宋体" w:cs="宋体"/>
                <w:highlight w:val="none"/>
              </w:rPr>
              <w:t>☑发布公告</w:t>
            </w:r>
          </w:p>
          <w:p>
            <w:pPr>
              <w:adjustRightInd w:val="0"/>
              <w:snapToGrid w:val="0"/>
              <w:spacing w:line="320" w:lineRule="exact"/>
              <w:rPr>
                <w:rFonts w:ascii="宋体" w:cs="Times New Roman"/>
                <w:highlight w:val="none"/>
              </w:rPr>
            </w:pPr>
            <w:r>
              <w:rPr>
                <w:rFonts w:hint="eastAsia" w:ascii="宋体" w:hAnsi="宋体" w:cs="宋体"/>
                <w:highlight w:val="none"/>
              </w:rPr>
              <w:t>□从省级以上财政部门建立的供应商库中随机抽取</w:t>
            </w:r>
          </w:p>
          <w:p>
            <w:pPr>
              <w:adjustRightInd w:val="0"/>
              <w:snapToGrid w:val="0"/>
              <w:spacing w:line="320" w:lineRule="exact"/>
              <w:rPr>
                <w:rFonts w:ascii="宋体" w:cs="Times New Roman"/>
                <w:highlight w:val="none"/>
              </w:rPr>
            </w:pPr>
            <w:r>
              <w:rPr>
                <w:rFonts w:hint="eastAsia" w:ascii="宋体" w:hAnsi="宋体" w:cs="宋体"/>
                <w:highlight w:val="none"/>
              </w:rPr>
              <w:t>□采购人和评审专家分别书面推荐的方式</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736" w:hRule="atLeast"/>
          <w:tblHeader/>
          <w:jc w:val="center"/>
        </w:trPr>
        <w:tc>
          <w:tcPr>
            <w:tcW w:w="1844" w:type="dxa"/>
            <w:vAlign w:val="center"/>
          </w:tcPr>
          <w:p>
            <w:pPr>
              <w:adjustRightInd w:val="0"/>
              <w:snapToGrid w:val="0"/>
              <w:spacing w:line="360" w:lineRule="auto"/>
              <w:jc w:val="center"/>
              <w:rPr>
                <w:rFonts w:ascii="宋体" w:cs="Times New Roman"/>
                <w:highlight w:val="none"/>
              </w:rPr>
            </w:pPr>
            <w:r>
              <w:rPr>
                <w:rFonts w:hint="eastAsia" w:ascii="宋体" w:hAnsi="宋体" w:cs="宋体"/>
                <w:highlight w:val="none"/>
              </w:rPr>
              <w:t>第二章第</w:t>
            </w:r>
            <w:r>
              <w:rPr>
                <w:rFonts w:ascii="宋体" w:hAnsi="宋体" w:cs="宋体"/>
                <w:highlight w:val="none"/>
              </w:rPr>
              <w:t>3.1</w:t>
            </w:r>
            <w:r>
              <w:rPr>
                <w:rFonts w:hint="eastAsia" w:ascii="宋体" w:hAnsi="宋体" w:cs="宋体"/>
                <w:highlight w:val="none"/>
              </w:rPr>
              <w:t>款</w:t>
            </w:r>
          </w:p>
        </w:tc>
        <w:tc>
          <w:tcPr>
            <w:tcW w:w="1091" w:type="dxa"/>
            <w:vAlign w:val="center"/>
          </w:tcPr>
          <w:p>
            <w:pPr>
              <w:adjustRightInd w:val="0"/>
              <w:snapToGrid w:val="0"/>
              <w:spacing w:line="360" w:lineRule="auto"/>
              <w:rPr>
                <w:rFonts w:ascii="宋体" w:cs="Times New Roman"/>
                <w:highlight w:val="none"/>
              </w:rPr>
            </w:pPr>
            <w:r>
              <w:rPr>
                <w:rFonts w:hint="eastAsia" w:ascii="宋体" w:hAnsi="宋体" w:cs="宋体"/>
                <w:highlight w:val="none"/>
              </w:rPr>
              <w:t>供应商资格条件</w:t>
            </w:r>
          </w:p>
        </w:tc>
        <w:tc>
          <w:tcPr>
            <w:tcW w:w="7191" w:type="dxa"/>
          </w:tcPr>
          <w:p>
            <w:pPr>
              <w:adjustRightInd w:val="0"/>
              <w:snapToGrid w:val="0"/>
              <w:rPr>
                <w:rFonts w:ascii="宋体" w:hAnsi="宋体"/>
                <w:highlight w:val="none"/>
              </w:rPr>
            </w:pPr>
            <w:r>
              <w:rPr>
                <w:rFonts w:ascii="宋体" w:hAnsi="宋体" w:cs="宋体"/>
                <w:highlight w:val="none"/>
              </w:rPr>
              <w:t>1</w:t>
            </w:r>
            <w:r>
              <w:rPr>
                <w:rFonts w:hint="eastAsia" w:ascii="宋体" w:hAnsi="宋体"/>
                <w:highlight w:val="none"/>
              </w:rPr>
              <w:t>、供应商基本资格条件：符合《中华人民共和国政府采购法》第二十二条规定的供应商条件；并提供以下资格证明文件：</w:t>
            </w:r>
          </w:p>
          <w:p>
            <w:pPr>
              <w:adjustRightInd w:val="0"/>
              <w:snapToGrid w:val="0"/>
              <w:spacing w:line="360" w:lineRule="auto"/>
              <w:ind w:firstLine="420" w:firstLineChars="200"/>
              <w:rPr>
                <w:rFonts w:ascii="宋体" w:hAnsi="宋体" w:cs="宋体"/>
                <w:highlight w:val="none"/>
              </w:rPr>
            </w:pPr>
            <w:r>
              <w:rPr>
                <w:rFonts w:hint="eastAsia" w:ascii="宋体" w:hAnsi="宋体" w:cs="宋体"/>
                <w:highlight w:val="none"/>
              </w:rPr>
              <w:t>（1）法人提交企业法人营业执照副本(或者法人登记证书)以及组织机构代码证副本复印件；</w:t>
            </w:r>
          </w:p>
          <w:p>
            <w:pPr>
              <w:adjustRightInd w:val="0"/>
              <w:snapToGrid w:val="0"/>
              <w:spacing w:line="360" w:lineRule="auto"/>
              <w:ind w:firstLine="420" w:firstLineChars="200"/>
              <w:rPr>
                <w:rFonts w:ascii="宋体" w:hAnsi="宋体" w:cs="宋体"/>
                <w:highlight w:val="none"/>
              </w:rPr>
            </w:pPr>
            <w:r>
              <w:rPr>
                <w:rFonts w:hint="eastAsia" w:ascii="宋体" w:hAnsi="宋体" w:cs="宋体"/>
                <w:highlight w:val="none"/>
              </w:rPr>
              <w:t>（2）法人提交法定代表人身份证明原件或者法定代表人授权委托书原件并附法定代表人身份证明原件，自然人提交身份证复印件；</w:t>
            </w:r>
          </w:p>
          <w:p>
            <w:pPr>
              <w:adjustRightInd w:val="0"/>
              <w:snapToGrid w:val="0"/>
              <w:spacing w:line="360" w:lineRule="auto"/>
              <w:ind w:firstLine="420" w:firstLineChars="200"/>
              <w:rPr>
                <w:rFonts w:ascii="宋体" w:hAnsi="宋体" w:cs="宋体"/>
                <w:highlight w:val="none"/>
              </w:rPr>
            </w:pPr>
            <w:r>
              <w:rPr>
                <w:rFonts w:hint="eastAsia" w:ascii="宋体" w:hAnsi="宋体" w:cs="宋体"/>
                <w:highlight w:val="none"/>
              </w:rPr>
              <w:t>（3）供应商资格声明(格式)。</w:t>
            </w:r>
          </w:p>
          <w:p>
            <w:pPr>
              <w:adjustRightInd w:val="0"/>
              <w:snapToGrid w:val="0"/>
              <w:spacing w:line="360" w:lineRule="auto"/>
              <w:jc w:val="left"/>
              <w:rPr>
                <w:rFonts w:ascii="Times New Roman" w:hAnsi="仿宋"/>
                <w:sz w:val="24"/>
                <w:szCs w:val="24"/>
                <w:highlight w:val="none"/>
              </w:rPr>
            </w:pPr>
            <w:r>
              <w:rPr>
                <w:rFonts w:ascii="宋体" w:hAnsi="宋体" w:cs="宋体"/>
                <w:highlight w:val="none"/>
              </w:rPr>
              <w:t>2</w:t>
            </w:r>
            <w:r>
              <w:rPr>
                <w:rFonts w:hint="eastAsia" w:ascii="宋体" w:hAnsi="宋体" w:cs="宋体"/>
                <w:highlight w:val="none"/>
              </w:rPr>
              <w:t>、供应商特定资格条件：无</w:t>
            </w:r>
          </w:p>
          <w:p>
            <w:pPr>
              <w:pStyle w:val="10"/>
              <w:rPr>
                <w:rFonts w:ascii="宋体" w:cs="宋体"/>
                <w:highlight w:val="none"/>
              </w:rPr>
            </w:pPr>
            <w:r>
              <w:rPr>
                <w:rFonts w:hint="eastAsia" w:ascii="宋体" w:hAnsi="宋体" w:cs="宋体"/>
                <w:highlight w:val="none"/>
              </w:rPr>
              <w:t>3、法定代表人或者负责人为同一人或者存在控股、管理关系的两个以上供应商，不得同时参与本项目投标。</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252" w:hRule="atLeast"/>
          <w:tblHeader/>
          <w:jc w:val="center"/>
        </w:trPr>
        <w:tc>
          <w:tcPr>
            <w:tcW w:w="1844" w:type="dxa"/>
            <w:vAlign w:val="center"/>
          </w:tcPr>
          <w:p>
            <w:pPr>
              <w:adjustRightInd w:val="0"/>
              <w:snapToGrid w:val="0"/>
              <w:spacing w:line="360" w:lineRule="auto"/>
              <w:jc w:val="center"/>
              <w:rPr>
                <w:rFonts w:ascii="宋体" w:cs="Times New Roman"/>
                <w:highlight w:val="none"/>
              </w:rPr>
            </w:pPr>
            <w:r>
              <w:rPr>
                <w:rFonts w:hint="eastAsia" w:ascii="宋体" w:hAnsi="宋体" w:cs="宋体"/>
                <w:highlight w:val="none"/>
              </w:rPr>
              <w:t>第二章第</w:t>
            </w:r>
            <w:r>
              <w:rPr>
                <w:rFonts w:ascii="宋体" w:hAnsi="宋体" w:cs="宋体"/>
                <w:highlight w:val="none"/>
              </w:rPr>
              <w:t>6.1</w:t>
            </w:r>
            <w:r>
              <w:rPr>
                <w:rFonts w:hint="eastAsia" w:ascii="宋体" w:hAnsi="宋体" w:cs="宋体"/>
                <w:highlight w:val="none"/>
              </w:rPr>
              <w:t>款</w:t>
            </w:r>
          </w:p>
        </w:tc>
        <w:tc>
          <w:tcPr>
            <w:tcW w:w="1091" w:type="dxa"/>
            <w:vAlign w:val="center"/>
          </w:tcPr>
          <w:p>
            <w:pPr>
              <w:adjustRightInd w:val="0"/>
              <w:snapToGrid w:val="0"/>
              <w:spacing w:line="360" w:lineRule="auto"/>
              <w:rPr>
                <w:rFonts w:ascii="宋体" w:cs="Times New Roman"/>
                <w:highlight w:val="none"/>
              </w:rPr>
            </w:pPr>
            <w:r>
              <w:rPr>
                <w:rFonts w:hint="eastAsia" w:ascii="宋体" w:hAnsi="宋体" w:cs="宋体"/>
                <w:highlight w:val="none"/>
              </w:rPr>
              <w:t>联合体形式</w:t>
            </w:r>
          </w:p>
        </w:tc>
        <w:tc>
          <w:tcPr>
            <w:tcW w:w="7191" w:type="dxa"/>
            <w:vAlign w:val="center"/>
          </w:tcPr>
          <w:p>
            <w:pPr>
              <w:adjustRightInd w:val="0"/>
              <w:snapToGrid w:val="0"/>
              <w:spacing w:line="360" w:lineRule="exact"/>
              <w:rPr>
                <w:rFonts w:ascii="宋体" w:cs="宋体"/>
                <w:highlight w:val="none"/>
              </w:rPr>
            </w:pPr>
            <w:r>
              <w:rPr>
                <w:rFonts w:hint="eastAsia" w:ascii="宋体" w:hAnsi="宋体" w:cs="宋体"/>
                <w:highlight w:val="none"/>
              </w:rPr>
              <w:t>☑不接受</w:t>
            </w:r>
          </w:p>
          <w:p>
            <w:pPr>
              <w:adjustRightInd w:val="0"/>
              <w:snapToGrid w:val="0"/>
              <w:spacing w:line="360" w:lineRule="exact"/>
              <w:rPr>
                <w:rFonts w:ascii="宋体" w:cs="宋体"/>
                <w:highlight w:val="none"/>
              </w:rPr>
            </w:pPr>
            <w:r>
              <w:rPr>
                <w:rFonts w:hint="eastAsia" w:ascii="宋体" w:hAnsi="宋体" w:cs="宋体"/>
                <w:highlight w:val="none"/>
              </w:rPr>
              <w:t>□接受</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97" w:hRule="atLeast"/>
          <w:tblHeader/>
          <w:jc w:val="center"/>
        </w:trPr>
        <w:tc>
          <w:tcPr>
            <w:tcW w:w="1844" w:type="dxa"/>
            <w:vAlign w:val="center"/>
          </w:tcPr>
          <w:p>
            <w:pPr>
              <w:adjustRightInd w:val="0"/>
              <w:snapToGrid w:val="0"/>
              <w:spacing w:line="360" w:lineRule="auto"/>
              <w:jc w:val="center"/>
              <w:rPr>
                <w:rFonts w:ascii="宋体" w:cs="Times New Roman"/>
                <w:highlight w:val="none"/>
              </w:rPr>
            </w:pPr>
            <w:r>
              <w:rPr>
                <w:rFonts w:hint="eastAsia" w:ascii="宋体" w:hAnsi="宋体" w:cs="宋体"/>
                <w:highlight w:val="none"/>
              </w:rPr>
              <w:t>第二章第</w:t>
            </w:r>
            <w:r>
              <w:rPr>
                <w:rFonts w:ascii="宋体" w:hAnsi="宋体" w:cs="宋体"/>
                <w:highlight w:val="none"/>
              </w:rPr>
              <w:t>6.2</w:t>
            </w:r>
            <w:r>
              <w:rPr>
                <w:rFonts w:hint="eastAsia" w:ascii="宋体" w:hAnsi="宋体" w:cs="宋体"/>
                <w:highlight w:val="none"/>
              </w:rPr>
              <w:t>款</w:t>
            </w:r>
          </w:p>
        </w:tc>
        <w:tc>
          <w:tcPr>
            <w:tcW w:w="1091" w:type="dxa"/>
            <w:vAlign w:val="center"/>
          </w:tcPr>
          <w:p>
            <w:pPr>
              <w:adjustRightInd w:val="0"/>
              <w:snapToGrid w:val="0"/>
              <w:spacing w:line="360" w:lineRule="auto"/>
              <w:rPr>
                <w:rFonts w:ascii="宋体" w:cs="Times New Roman"/>
                <w:highlight w:val="none"/>
              </w:rPr>
            </w:pPr>
            <w:r>
              <w:rPr>
                <w:rFonts w:hint="eastAsia" w:ascii="宋体" w:hAnsi="宋体" w:cs="宋体"/>
                <w:highlight w:val="none"/>
              </w:rPr>
              <w:t>对联合体各方的要求</w:t>
            </w:r>
          </w:p>
        </w:tc>
        <w:tc>
          <w:tcPr>
            <w:tcW w:w="7191" w:type="dxa"/>
            <w:vAlign w:val="center"/>
          </w:tcPr>
          <w:p>
            <w:pPr>
              <w:adjustRightInd w:val="0"/>
              <w:snapToGrid w:val="0"/>
              <w:spacing w:line="360" w:lineRule="exact"/>
              <w:rPr>
                <w:rFonts w:ascii="宋体" w:cs="宋体"/>
                <w:highlight w:val="none"/>
              </w:rPr>
            </w:pPr>
            <w:r>
              <w:rPr>
                <w:rFonts w:hint="eastAsia" w:ascii="宋体" w:hAnsi="宋体" w:cs="宋体"/>
                <w:highlight w:val="none"/>
              </w:rPr>
              <w:t>无</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3" w:hRule="atLeast"/>
          <w:tblHeader/>
          <w:jc w:val="center"/>
        </w:trPr>
        <w:tc>
          <w:tcPr>
            <w:tcW w:w="1844" w:type="dxa"/>
            <w:vAlign w:val="center"/>
          </w:tcPr>
          <w:p>
            <w:pPr>
              <w:adjustRightInd w:val="0"/>
              <w:snapToGrid w:val="0"/>
              <w:spacing w:line="360" w:lineRule="auto"/>
              <w:jc w:val="center"/>
              <w:rPr>
                <w:rFonts w:ascii="宋体" w:cs="Times New Roman"/>
                <w:highlight w:val="none"/>
              </w:rPr>
            </w:pPr>
            <w:r>
              <w:rPr>
                <w:rFonts w:hint="eastAsia" w:ascii="宋体" w:hAnsi="宋体" w:cs="宋体"/>
                <w:highlight w:val="none"/>
              </w:rPr>
              <w:t>第二章第</w:t>
            </w:r>
            <w:r>
              <w:rPr>
                <w:rFonts w:ascii="宋体" w:hAnsi="宋体" w:cs="宋体"/>
                <w:highlight w:val="none"/>
              </w:rPr>
              <w:t>7.1</w:t>
            </w:r>
            <w:r>
              <w:rPr>
                <w:rFonts w:hint="eastAsia" w:ascii="宋体" w:hAnsi="宋体" w:cs="宋体"/>
                <w:highlight w:val="none"/>
              </w:rPr>
              <w:t>款</w:t>
            </w:r>
          </w:p>
        </w:tc>
        <w:tc>
          <w:tcPr>
            <w:tcW w:w="1091" w:type="dxa"/>
            <w:vAlign w:val="center"/>
          </w:tcPr>
          <w:p>
            <w:pPr>
              <w:adjustRightInd w:val="0"/>
              <w:snapToGrid w:val="0"/>
              <w:spacing w:line="360" w:lineRule="auto"/>
              <w:rPr>
                <w:rFonts w:ascii="宋体" w:cs="Times New Roman"/>
                <w:highlight w:val="none"/>
              </w:rPr>
            </w:pPr>
            <w:r>
              <w:rPr>
                <w:rFonts w:hint="eastAsia" w:ascii="宋体" w:hAnsi="宋体" w:cs="宋体"/>
                <w:highlight w:val="none"/>
              </w:rPr>
              <w:t>现场勘察</w:t>
            </w:r>
          </w:p>
        </w:tc>
        <w:tc>
          <w:tcPr>
            <w:tcW w:w="7191" w:type="dxa"/>
            <w:vAlign w:val="center"/>
          </w:tcPr>
          <w:p>
            <w:pPr>
              <w:adjustRightInd w:val="0"/>
              <w:snapToGrid w:val="0"/>
              <w:spacing w:line="360" w:lineRule="exact"/>
              <w:rPr>
                <w:rFonts w:ascii="宋体" w:cs="宋体"/>
                <w:highlight w:val="none"/>
              </w:rPr>
            </w:pPr>
            <w:r>
              <w:rPr>
                <w:rFonts w:hint="eastAsia" w:ascii="宋体" w:hAnsi="宋体" w:cs="宋体"/>
                <w:highlight w:val="none"/>
              </w:rPr>
              <w:t>☑采购人不组织，但供应商在磋商前可自行对实地进行勘察。</w:t>
            </w:r>
          </w:p>
          <w:p>
            <w:pPr>
              <w:adjustRightInd w:val="0"/>
              <w:snapToGrid w:val="0"/>
              <w:spacing w:line="360" w:lineRule="exact"/>
              <w:rPr>
                <w:rFonts w:ascii="宋体" w:cs="宋体"/>
                <w:highlight w:val="none"/>
              </w:rPr>
            </w:pPr>
            <w:r>
              <w:rPr>
                <w:rFonts w:hint="eastAsia" w:ascii="宋体" w:hAnsi="宋体" w:cs="宋体"/>
                <w:highlight w:val="none"/>
              </w:rPr>
              <w:t>□采购人组织，时间：地点：联系人：</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3" w:hRule="atLeast"/>
          <w:tblHeader/>
          <w:jc w:val="center"/>
        </w:trPr>
        <w:tc>
          <w:tcPr>
            <w:tcW w:w="1844" w:type="dxa"/>
            <w:vAlign w:val="center"/>
          </w:tcPr>
          <w:p>
            <w:pPr>
              <w:rPr>
                <w:rFonts w:ascii="宋体" w:cs="Times New Roman"/>
                <w:highlight w:val="none"/>
              </w:rPr>
            </w:pPr>
            <w:r>
              <w:rPr>
                <w:rFonts w:hint="eastAsia" w:ascii="宋体" w:hAnsi="宋体" w:cs="宋体"/>
                <w:highlight w:val="none"/>
              </w:rPr>
              <w:t>第二章第</w:t>
            </w:r>
            <w:r>
              <w:rPr>
                <w:rFonts w:ascii="宋体" w:hAnsi="宋体" w:cs="宋体"/>
                <w:highlight w:val="none"/>
              </w:rPr>
              <w:t>8.1</w:t>
            </w:r>
            <w:r>
              <w:rPr>
                <w:rFonts w:hint="eastAsia" w:ascii="宋体" w:hAnsi="宋体" w:cs="宋体"/>
                <w:highlight w:val="none"/>
              </w:rPr>
              <w:t>款</w:t>
            </w:r>
          </w:p>
        </w:tc>
        <w:tc>
          <w:tcPr>
            <w:tcW w:w="1091" w:type="dxa"/>
            <w:vAlign w:val="center"/>
          </w:tcPr>
          <w:p>
            <w:pPr>
              <w:rPr>
                <w:rFonts w:ascii="宋体" w:cs="Times New Roman"/>
                <w:highlight w:val="none"/>
              </w:rPr>
            </w:pPr>
            <w:r>
              <w:rPr>
                <w:rFonts w:hint="eastAsia" w:ascii="宋体" w:hAnsi="宋体" w:cs="宋体"/>
                <w:highlight w:val="none"/>
              </w:rPr>
              <w:t>采购进口产品</w:t>
            </w:r>
          </w:p>
        </w:tc>
        <w:tc>
          <w:tcPr>
            <w:tcW w:w="7191" w:type="dxa"/>
            <w:vAlign w:val="center"/>
          </w:tcPr>
          <w:p>
            <w:pPr>
              <w:adjustRightInd w:val="0"/>
              <w:snapToGrid w:val="0"/>
              <w:spacing w:line="360" w:lineRule="exact"/>
              <w:rPr>
                <w:rFonts w:ascii="宋体" w:cs="宋体"/>
                <w:highlight w:val="none"/>
              </w:rPr>
            </w:pPr>
            <w:r>
              <w:rPr>
                <w:rFonts w:hint="eastAsia" w:ascii="宋体" w:hAnsi="宋体" w:cs="宋体"/>
                <w:highlight w:val="none"/>
              </w:rPr>
              <w:t>☑本项目拒绝采购进口产品</w:t>
            </w:r>
          </w:p>
          <w:p>
            <w:pPr>
              <w:spacing w:line="360" w:lineRule="exact"/>
              <w:rPr>
                <w:rFonts w:ascii="宋体" w:cs="宋体"/>
                <w:highlight w:val="none"/>
              </w:rPr>
            </w:pPr>
            <w:r>
              <w:rPr>
                <w:rFonts w:hint="eastAsia" w:ascii="宋体" w:hAnsi="宋体" w:cs="宋体"/>
                <w:highlight w:val="none"/>
              </w:rPr>
              <w:t>□本项目已经财政部门审核同意购买进口产品</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 w:hRule="atLeast"/>
          <w:tblHeader/>
          <w:jc w:val="center"/>
        </w:trPr>
        <w:tc>
          <w:tcPr>
            <w:tcW w:w="10126" w:type="dxa"/>
            <w:gridSpan w:val="3"/>
            <w:vAlign w:val="center"/>
          </w:tcPr>
          <w:p>
            <w:pPr>
              <w:adjustRightInd w:val="0"/>
              <w:snapToGrid w:val="0"/>
              <w:spacing w:line="360" w:lineRule="auto"/>
              <w:rPr>
                <w:rFonts w:ascii="宋体" w:cs="Times New Roman"/>
                <w:b/>
                <w:bCs/>
                <w:highlight w:val="none"/>
              </w:rPr>
            </w:pPr>
            <w:r>
              <w:rPr>
                <w:rFonts w:hint="eastAsia" w:ascii="宋体" w:hAnsi="宋体" w:cs="宋体"/>
                <w:b/>
                <w:bCs/>
                <w:highlight w:val="none"/>
              </w:rPr>
              <w:t>二、磋商文件</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 w:hRule="atLeast"/>
          <w:tblHeader/>
          <w:jc w:val="center"/>
        </w:trPr>
        <w:tc>
          <w:tcPr>
            <w:tcW w:w="1844" w:type="dxa"/>
            <w:vAlign w:val="center"/>
          </w:tcPr>
          <w:p>
            <w:pPr>
              <w:adjustRightInd w:val="0"/>
              <w:snapToGrid w:val="0"/>
              <w:spacing w:line="360" w:lineRule="auto"/>
              <w:jc w:val="center"/>
              <w:rPr>
                <w:rFonts w:ascii="宋体" w:cs="Times New Roman"/>
                <w:highlight w:val="none"/>
              </w:rPr>
            </w:pPr>
            <w:r>
              <w:rPr>
                <w:rFonts w:hint="eastAsia" w:ascii="宋体" w:hAnsi="宋体" w:cs="宋体"/>
                <w:highlight w:val="none"/>
              </w:rPr>
              <w:t>第二章第</w:t>
            </w:r>
            <w:r>
              <w:rPr>
                <w:rFonts w:ascii="宋体" w:hAnsi="宋体" w:cs="宋体"/>
                <w:highlight w:val="none"/>
              </w:rPr>
              <w:t>10.2</w:t>
            </w:r>
            <w:r>
              <w:rPr>
                <w:rFonts w:hint="eastAsia" w:ascii="宋体" w:hAnsi="宋体" w:cs="宋体"/>
                <w:highlight w:val="none"/>
              </w:rPr>
              <w:t>款</w:t>
            </w:r>
          </w:p>
        </w:tc>
        <w:tc>
          <w:tcPr>
            <w:tcW w:w="1091" w:type="dxa"/>
            <w:vAlign w:val="center"/>
          </w:tcPr>
          <w:p>
            <w:pPr>
              <w:adjustRightInd w:val="0"/>
              <w:snapToGrid w:val="0"/>
              <w:spacing w:line="360" w:lineRule="auto"/>
              <w:jc w:val="left"/>
              <w:rPr>
                <w:rFonts w:ascii="宋体" w:cs="Times New Roman"/>
                <w:highlight w:val="none"/>
              </w:rPr>
            </w:pPr>
            <w:r>
              <w:rPr>
                <w:rFonts w:hint="eastAsia" w:ascii="宋体" w:hAnsi="宋体" w:cs="宋体"/>
                <w:highlight w:val="none"/>
              </w:rPr>
              <w:t>磋商文件的可能实质性变动内容</w:t>
            </w:r>
          </w:p>
        </w:tc>
        <w:tc>
          <w:tcPr>
            <w:tcW w:w="7191" w:type="dxa"/>
            <w:vAlign w:val="center"/>
          </w:tcPr>
          <w:p>
            <w:pPr>
              <w:adjustRightInd w:val="0"/>
              <w:snapToGrid w:val="0"/>
              <w:spacing w:line="360" w:lineRule="auto"/>
              <w:jc w:val="left"/>
              <w:rPr>
                <w:rFonts w:ascii="宋体" w:cs="Times New Roman"/>
                <w:highlight w:val="none"/>
              </w:rPr>
            </w:pPr>
            <w:r>
              <w:rPr>
                <w:rFonts w:hint="eastAsia" w:ascii="宋体" w:hAnsi="宋体" w:cs="宋体"/>
                <w:highlight w:val="none"/>
              </w:rPr>
              <w:t>采购需求以及合同草案条款作实质性变动</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05" w:hRule="atLeast"/>
          <w:tblHeader/>
          <w:jc w:val="center"/>
        </w:trPr>
        <w:tc>
          <w:tcPr>
            <w:tcW w:w="1844" w:type="dxa"/>
            <w:vAlign w:val="center"/>
          </w:tcPr>
          <w:p>
            <w:pPr>
              <w:adjustRightInd w:val="0"/>
              <w:snapToGrid w:val="0"/>
              <w:spacing w:line="360" w:lineRule="auto"/>
              <w:jc w:val="center"/>
              <w:rPr>
                <w:rFonts w:ascii="宋体" w:cs="Times New Roman"/>
                <w:highlight w:val="none"/>
              </w:rPr>
            </w:pPr>
            <w:r>
              <w:rPr>
                <w:rFonts w:hint="eastAsia" w:ascii="宋体" w:hAnsi="宋体" w:cs="宋体"/>
                <w:highlight w:val="none"/>
              </w:rPr>
              <w:t>第二章第</w:t>
            </w:r>
            <w:r>
              <w:rPr>
                <w:rFonts w:ascii="宋体" w:hAnsi="宋体" w:cs="宋体"/>
                <w:highlight w:val="none"/>
              </w:rPr>
              <w:t>11.1</w:t>
            </w:r>
            <w:r>
              <w:rPr>
                <w:rFonts w:hint="eastAsia" w:ascii="宋体" w:hAnsi="宋体" w:cs="宋体"/>
                <w:highlight w:val="none"/>
              </w:rPr>
              <w:t>款</w:t>
            </w:r>
          </w:p>
        </w:tc>
        <w:tc>
          <w:tcPr>
            <w:tcW w:w="1091" w:type="dxa"/>
            <w:vAlign w:val="center"/>
          </w:tcPr>
          <w:p>
            <w:pPr>
              <w:adjustRightInd w:val="0"/>
              <w:snapToGrid w:val="0"/>
              <w:spacing w:line="360" w:lineRule="auto"/>
              <w:jc w:val="left"/>
              <w:rPr>
                <w:rFonts w:ascii="宋体" w:cs="Times New Roman"/>
                <w:highlight w:val="none"/>
              </w:rPr>
            </w:pPr>
            <w:r>
              <w:rPr>
                <w:rFonts w:hint="eastAsia" w:ascii="宋体" w:hAnsi="宋体" w:cs="宋体"/>
                <w:highlight w:val="none"/>
              </w:rPr>
              <w:t>提供磋商文件期限</w:t>
            </w:r>
          </w:p>
        </w:tc>
        <w:tc>
          <w:tcPr>
            <w:tcW w:w="7191" w:type="dxa"/>
            <w:vAlign w:val="center"/>
          </w:tcPr>
          <w:p>
            <w:pPr>
              <w:adjustRightInd w:val="0"/>
              <w:snapToGrid w:val="0"/>
              <w:spacing w:line="360" w:lineRule="auto"/>
              <w:jc w:val="left"/>
              <w:rPr>
                <w:rFonts w:ascii="宋体" w:cs="Times New Roman"/>
                <w:highlight w:val="none"/>
              </w:rPr>
            </w:pPr>
            <w:r>
              <w:rPr>
                <w:rFonts w:ascii="宋体" w:hAnsi="宋体" w:cs="宋体"/>
                <w:highlight w:val="none"/>
              </w:rPr>
              <w:t>20</w:t>
            </w:r>
            <w:r>
              <w:rPr>
                <w:rFonts w:hint="eastAsia" w:ascii="宋体" w:hAnsi="宋体" w:cs="宋体"/>
                <w:highlight w:val="none"/>
              </w:rPr>
              <w:t>21年</w:t>
            </w:r>
            <w:r>
              <w:rPr>
                <w:rFonts w:hint="eastAsia" w:ascii="宋体" w:hAnsi="宋体" w:cs="宋体"/>
                <w:highlight w:val="none"/>
                <w:u w:val="single"/>
                <w:lang w:val="en-US" w:eastAsia="zh-CN"/>
              </w:rPr>
              <w:t>12</w:t>
            </w:r>
            <w:r>
              <w:rPr>
                <w:rFonts w:hint="eastAsia" w:ascii="宋体" w:hAnsi="宋体" w:cs="宋体"/>
                <w:highlight w:val="none"/>
              </w:rPr>
              <w:t>月</w:t>
            </w:r>
            <w:r>
              <w:rPr>
                <w:rFonts w:hint="eastAsia" w:ascii="宋体" w:hAnsi="宋体" w:cs="宋体"/>
                <w:highlight w:val="none"/>
                <w:u w:val="single"/>
              </w:rPr>
              <w:t xml:space="preserve"> </w:t>
            </w:r>
            <w:r>
              <w:rPr>
                <w:rFonts w:hint="eastAsia" w:ascii="宋体" w:hAnsi="宋体" w:cs="宋体"/>
                <w:highlight w:val="none"/>
                <w:u w:val="single"/>
                <w:lang w:val="en-US" w:eastAsia="zh-CN"/>
              </w:rPr>
              <w:t>30</w:t>
            </w:r>
            <w:r>
              <w:rPr>
                <w:rFonts w:hint="eastAsia" w:ascii="宋体" w:hAnsi="宋体" w:cs="宋体"/>
                <w:highlight w:val="none"/>
                <w:u w:val="single"/>
              </w:rPr>
              <w:t xml:space="preserve"> </w:t>
            </w:r>
            <w:r>
              <w:rPr>
                <w:rFonts w:hint="eastAsia" w:ascii="宋体" w:hAnsi="宋体" w:cs="宋体"/>
                <w:highlight w:val="none"/>
              </w:rPr>
              <w:t>日至</w:t>
            </w:r>
            <w:r>
              <w:rPr>
                <w:rFonts w:ascii="宋体" w:hAnsi="宋体" w:cs="宋体"/>
                <w:highlight w:val="none"/>
              </w:rPr>
              <w:t>20</w:t>
            </w:r>
            <w:r>
              <w:rPr>
                <w:rFonts w:hint="eastAsia" w:ascii="宋体" w:hAnsi="宋体" w:cs="宋体"/>
                <w:highlight w:val="none"/>
              </w:rPr>
              <w:t>2</w:t>
            </w:r>
            <w:r>
              <w:rPr>
                <w:rFonts w:hint="eastAsia" w:ascii="宋体" w:hAnsi="宋体" w:cs="宋体"/>
                <w:highlight w:val="none"/>
                <w:lang w:val="en-US" w:eastAsia="zh-CN"/>
              </w:rPr>
              <w:t>2</w:t>
            </w:r>
            <w:r>
              <w:rPr>
                <w:rFonts w:hint="eastAsia" w:ascii="宋体" w:hAnsi="宋体" w:cs="宋体"/>
                <w:highlight w:val="none"/>
              </w:rPr>
              <w:t>年</w:t>
            </w:r>
            <w:r>
              <w:rPr>
                <w:rFonts w:hint="eastAsia" w:ascii="宋体" w:hAnsi="宋体" w:cs="宋体"/>
                <w:highlight w:val="none"/>
                <w:u w:val="single"/>
                <w:lang w:val="en-US" w:eastAsia="zh-CN"/>
              </w:rPr>
              <w:t>1</w:t>
            </w:r>
            <w:r>
              <w:rPr>
                <w:rFonts w:hint="eastAsia" w:ascii="宋体" w:hAnsi="宋体" w:cs="宋体"/>
                <w:highlight w:val="none"/>
              </w:rPr>
              <w:t xml:space="preserve"> 月</w:t>
            </w:r>
            <w:r>
              <w:rPr>
                <w:rFonts w:hint="eastAsia" w:ascii="宋体" w:hAnsi="宋体" w:cs="宋体"/>
                <w:highlight w:val="none"/>
                <w:u w:val="single"/>
              </w:rPr>
              <w:t xml:space="preserve"> </w:t>
            </w:r>
            <w:r>
              <w:rPr>
                <w:rFonts w:hint="eastAsia" w:ascii="宋体" w:hAnsi="宋体" w:cs="宋体"/>
                <w:highlight w:val="none"/>
                <w:u w:val="single"/>
                <w:lang w:val="en-US" w:eastAsia="zh-CN"/>
              </w:rPr>
              <w:t>7</w:t>
            </w:r>
            <w:r>
              <w:rPr>
                <w:rFonts w:hint="eastAsia" w:ascii="宋体" w:hAnsi="宋体" w:cs="宋体"/>
                <w:highlight w:val="none"/>
                <w:u w:val="single"/>
              </w:rPr>
              <w:t xml:space="preserve"> </w:t>
            </w:r>
            <w:r>
              <w:rPr>
                <w:rFonts w:hint="eastAsia" w:ascii="宋体" w:hAnsi="宋体" w:cs="宋体"/>
                <w:highlight w:val="none"/>
              </w:rPr>
              <w:t>日</w:t>
            </w:r>
            <w:r>
              <w:rPr>
                <w:rFonts w:ascii="宋体" w:hAnsi="宋体" w:cs="宋体"/>
                <w:highlight w:val="none"/>
              </w:rPr>
              <w:t>(</w:t>
            </w:r>
            <w:r>
              <w:rPr>
                <w:rFonts w:hint="eastAsia" w:ascii="宋体" w:hAnsi="宋体" w:cs="宋体"/>
                <w:highlight w:val="none"/>
              </w:rPr>
              <w:t>节假日除外</w:t>
            </w:r>
            <w:r>
              <w:rPr>
                <w:rFonts w:ascii="宋体" w:hAnsi="宋体" w:cs="宋体"/>
                <w:highlight w:val="none"/>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 w:hRule="atLeast"/>
          <w:tblHeader/>
          <w:jc w:val="center"/>
        </w:trPr>
        <w:tc>
          <w:tcPr>
            <w:tcW w:w="1844" w:type="dxa"/>
            <w:vAlign w:val="center"/>
          </w:tcPr>
          <w:p>
            <w:pPr>
              <w:adjustRightInd w:val="0"/>
              <w:snapToGrid w:val="0"/>
              <w:spacing w:line="360" w:lineRule="auto"/>
              <w:jc w:val="center"/>
              <w:rPr>
                <w:rFonts w:ascii="宋体" w:cs="Times New Roman"/>
                <w:highlight w:val="none"/>
              </w:rPr>
            </w:pPr>
            <w:r>
              <w:rPr>
                <w:rFonts w:hint="eastAsia" w:ascii="宋体" w:hAnsi="宋体" w:cs="宋体"/>
                <w:highlight w:val="none"/>
              </w:rPr>
              <w:t>第二章第</w:t>
            </w:r>
            <w:r>
              <w:rPr>
                <w:rFonts w:ascii="宋体" w:hAnsi="宋体" w:cs="宋体"/>
                <w:highlight w:val="none"/>
              </w:rPr>
              <w:t>11.2</w:t>
            </w:r>
            <w:r>
              <w:rPr>
                <w:rFonts w:hint="eastAsia" w:ascii="宋体" w:hAnsi="宋体" w:cs="宋体"/>
                <w:highlight w:val="none"/>
              </w:rPr>
              <w:t>款</w:t>
            </w:r>
          </w:p>
        </w:tc>
        <w:tc>
          <w:tcPr>
            <w:tcW w:w="1091" w:type="dxa"/>
            <w:vAlign w:val="center"/>
          </w:tcPr>
          <w:p>
            <w:pPr>
              <w:adjustRightInd w:val="0"/>
              <w:snapToGrid w:val="0"/>
              <w:spacing w:line="360" w:lineRule="auto"/>
              <w:jc w:val="left"/>
              <w:rPr>
                <w:rFonts w:ascii="宋体" w:cs="Times New Roman"/>
                <w:highlight w:val="none"/>
              </w:rPr>
            </w:pPr>
            <w:r>
              <w:rPr>
                <w:rFonts w:hint="eastAsia" w:ascii="宋体" w:hAnsi="宋体" w:cs="宋体"/>
                <w:highlight w:val="none"/>
              </w:rPr>
              <w:t>购买磋商文件时应提供的资料</w:t>
            </w:r>
          </w:p>
        </w:tc>
        <w:tc>
          <w:tcPr>
            <w:tcW w:w="7191" w:type="dxa"/>
            <w:vAlign w:val="center"/>
          </w:tcPr>
          <w:p>
            <w:pPr>
              <w:adjustRightInd w:val="0"/>
              <w:snapToGrid w:val="0"/>
              <w:spacing w:line="360" w:lineRule="auto"/>
              <w:jc w:val="left"/>
              <w:rPr>
                <w:rFonts w:ascii="宋体" w:cs="Times New Roman"/>
                <w:highlight w:val="none"/>
                <w:u w:val="single"/>
              </w:rPr>
            </w:pPr>
            <w:r>
              <w:rPr>
                <w:rFonts w:hint="eastAsia" w:ascii="宋体" w:hAnsi="宋体" w:cs="宋体"/>
                <w:highlight w:val="none"/>
              </w:rPr>
              <w:t>营业执照复印件、法定代表人身份证明或授权委托书(并附法定代表人身份证明)、个人身份证。</w:t>
            </w:r>
            <w:r>
              <w:rPr>
                <w:rFonts w:hint="eastAsia" w:ascii="宋体" w:hAnsi="宋体" w:cs="宋体"/>
                <w:b/>
                <w:highlight w:val="none"/>
              </w:rPr>
              <w:t>（所有复印件加盖单位公章一套，如未按其要求购买磋商文件，其响应恕不接受。）</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326" w:hRule="atLeast"/>
          <w:tblHeader/>
          <w:jc w:val="center"/>
        </w:trPr>
        <w:tc>
          <w:tcPr>
            <w:tcW w:w="1844" w:type="dxa"/>
            <w:vAlign w:val="center"/>
          </w:tcPr>
          <w:p>
            <w:pPr>
              <w:adjustRightInd w:val="0"/>
              <w:snapToGrid w:val="0"/>
              <w:spacing w:line="360" w:lineRule="auto"/>
              <w:jc w:val="center"/>
              <w:rPr>
                <w:rFonts w:ascii="宋体" w:cs="Times New Roman"/>
                <w:highlight w:val="none"/>
              </w:rPr>
            </w:pPr>
            <w:r>
              <w:rPr>
                <w:rFonts w:hint="eastAsia" w:ascii="宋体" w:hAnsi="宋体" w:cs="宋体"/>
                <w:highlight w:val="none"/>
              </w:rPr>
              <w:t>第二章第</w:t>
            </w:r>
            <w:r>
              <w:rPr>
                <w:rFonts w:ascii="宋体" w:hAnsi="宋体" w:cs="宋体"/>
                <w:highlight w:val="none"/>
              </w:rPr>
              <w:t>12.1</w:t>
            </w:r>
            <w:r>
              <w:rPr>
                <w:rFonts w:hint="eastAsia" w:ascii="宋体" w:hAnsi="宋体" w:cs="宋体"/>
                <w:highlight w:val="none"/>
              </w:rPr>
              <w:t>款</w:t>
            </w:r>
          </w:p>
        </w:tc>
        <w:tc>
          <w:tcPr>
            <w:tcW w:w="1091" w:type="dxa"/>
            <w:vAlign w:val="center"/>
          </w:tcPr>
          <w:p>
            <w:pPr>
              <w:adjustRightInd w:val="0"/>
              <w:snapToGrid w:val="0"/>
              <w:spacing w:line="360" w:lineRule="auto"/>
              <w:rPr>
                <w:rFonts w:ascii="宋体" w:cs="Times New Roman"/>
                <w:highlight w:val="none"/>
              </w:rPr>
            </w:pPr>
            <w:r>
              <w:rPr>
                <w:rFonts w:hint="eastAsia" w:ascii="宋体" w:hAnsi="宋体" w:cs="宋体"/>
                <w:highlight w:val="none"/>
              </w:rPr>
              <w:t>提交首次响应文件的截止时间</w:t>
            </w:r>
          </w:p>
        </w:tc>
        <w:tc>
          <w:tcPr>
            <w:tcW w:w="7191" w:type="dxa"/>
            <w:vAlign w:val="center"/>
          </w:tcPr>
          <w:p>
            <w:pPr>
              <w:adjustRightInd w:val="0"/>
              <w:snapToGrid w:val="0"/>
              <w:spacing w:line="360" w:lineRule="auto"/>
              <w:jc w:val="left"/>
              <w:rPr>
                <w:rFonts w:ascii="宋体" w:cs="Times New Roman"/>
                <w:highlight w:val="none"/>
              </w:rPr>
            </w:pPr>
            <w:r>
              <w:rPr>
                <w:rFonts w:ascii="宋体" w:hAnsi="宋体" w:cs="宋体"/>
                <w:highlight w:val="none"/>
              </w:rPr>
              <w:t>20</w:t>
            </w:r>
            <w:r>
              <w:rPr>
                <w:rFonts w:hint="eastAsia" w:ascii="宋体" w:hAnsi="宋体" w:cs="宋体"/>
                <w:highlight w:val="none"/>
              </w:rPr>
              <w:t>2</w:t>
            </w:r>
            <w:r>
              <w:rPr>
                <w:rFonts w:hint="eastAsia" w:ascii="宋体" w:hAnsi="宋体" w:cs="宋体"/>
                <w:highlight w:val="none"/>
                <w:lang w:val="en-US" w:eastAsia="zh-CN"/>
              </w:rPr>
              <w:t>2</w:t>
            </w:r>
            <w:r>
              <w:rPr>
                <w:rFonts w:hint="eastAsia" w:ascii="宋体" w:hAnsi="宋体" w:cs="宋体"/>
                <w:highlight w:val="none"/>
              </w:rPr>
              <w:t xml:space="preserve">年 </w:t>
            </w:r>
            <w:r>
              <w:rPr>
                <w:rFonts w:hint="eastAsia" w:ascii="宋体" w:hAnsi="宋体" w:cs="宋体"/>
                <w:highlight w:val="none"/>
                <w:lang w:val="en-US" w:eastAsia="zh-CN"/>
              </w:rPr>
              <w:t>1</w:t>
            </w:r>
            <w:r>
              <w:rPr>
                <w:rFonts w:hint="eastAsia" w:ascii="宋体" w:hAnsi="宋体" w:cs="宋体"/>
                <w:highlight w:val="none"/>
              </w:rPr>
              <w:t xml:space="preserve"> 月 </w:t>
            </w:r>
            <w:r>
              <w:rPr>
                <w:rFonts w:hint="eastAsia" w:ascii="宋体" w:hAnsi="宋体" w:cs="宋体"/>
                <w:highlight w:val="none"/>
                <w:lang w:val="en-US" w:eastAsia="zh-CN"/>
              </w:rPr>
              <w:t>10</w:t>
            </w:r>
            <w:r>
              <w:rPr>
                <w:rFonts w:hint="eastAsia" w:ascii="宋体" w:hAnsi="宋体" w:cs="宋体"/>
                <w:highlight w:val="none"/>
              </w:rPr>
              <w:t xml:space="preserve"> 日 </w:t>
            </w:r>
            <w:r>
              <w:rPr>
                <w:rFonts w:hint="eastAsia" w:ascii="宋体" w:hAnsi="宋体" w:cs="宋体"/>
                <w:highlight w:val="none"/>
                <w:lang w:val="en-US" w:eastAsia="zh-CN"/>
              </w:rPr>
              <w:t>09</w:t>
            </w:r>
            <w:r>
              <w:rPr>
                <w:rFonts w:hint="eastAsia" w:ascii="宋体" w:hAnsi="宋体" w:cs="宋体"/>
                <w:highlight w:val="none"/>
              </w:rPr>
              <w:t xml:space="preserve"> 时 </w:t>
            </w:r>
            <w:r>
              <w:rPr>
                <w:rFonts w:hint="eastAsia" w:ascii="宋体" w:hAnsi="宋体" w:cs="宋体"/>
                <w:highlight w:val="none"/>
                <w:lang w:val="en-US" w:eastAsia="zh-CN"/>
              </w:rPr>
              <w:t>30</w:t>
            </w:r>
            <w:r>
              <w:rPr>
                <w:rFonts w:hint="eastAsia" w:ascii="宋体" w:hAnsi="宋体" w:cs="宋体"/>
                <w:highlight w:val="none"/>
              </w:rPr>
              <w:t xml:space="preserve"> 分</w:t>
            </w:r>
            <w:r>
              <w:rPr>
                <w:rFonts w:ascii="宋体" w:hAnsi="宋体" w:cs="宋体"/>
                <w:highlight w:val="none"/>
              </w:rPr>
              <w:t xml:space="preserve"> (</w:t>
            </w:r>
            <w:r>
              <w:rPr>
                <w:rFonts w:hint="eastAsia" w:ascii="宋体" w:hAnsi="宋体" w:cs="宋体"/>
                <w:highlight w:val="none"/>
              </w:rPr>
              <w:t>北京时间</w:t>
            </w:r>
            <w:r>
              <w:rPr>
                <w:rFonts w:ascii="宋体" w:hAnsi="宋体" w:cs="宋体"/>
                <w:highlight w:val="none"/>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08" w:hRule="atLeast"/>
          <w:tblHeader/>
          <w:jc w:val="center"/>
        </w:trPr>
        <w:tc>
          <w:tcPr>
            <w:tcW w:w="10126" w:type="dxa"/>
            <w:gridSpan w:val="3"/>
            <w:vAlign w:val="center"/>
          </w:tcPr>
          <w:p>
            <w:pPr>
              <w:adjustRightInd w:val="0"/>
              <w:snapToGrid w:val="0"/>
              <w:spacing w:line="360" w:lineRule="auto"/>
              <w:rPr>
                <w:rFonts w:ascii="宋体" w:cs="Times New Roman"/>
                <w:highlight w:val="none"/>
              </w:rPr>
            </w:pPr>
            <w:r>
              <w:rPr>
                <w:rFonts w:hint="eastAsia" w:ascii="宋体" w:hAnsi="宋体" w:cs="宋体"/>
                <w:b/>
                <w:bCs/>
                <w:highlight w:val="none"/>
              </w:rPr>
              <w:t>三、响应文件的编写</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52" w:hRule="atLeast"/>
          <w:tblHeader/>
          <w:jc w:val="center"/>
        </w:trPr>
        <w:tc>
          <w:tcPr>
            <w:tcW w:w="1844" w:type="dxa"/>
            <w:vAlign w:val="center"/>
          </w:tcPr>
          <w:p>
            <w:pPr>
              <w:adjustRightInd w:val="0"/>
              <w:snapToGrid w:val="0"/>
              <w:spacing w:line="360" w:lineRule="auto"/>
              <w:jc w:val="center"/>
              <w:rPr>
                <w:rFonts w:ascii="宋体" w:cs="Times New Roman"/>
                <w:highlight w:val="none"/>
              </w:rPr>
            </w:pPr>
            <w:r>
              <w:rPr>
                <w:rFonts w:hint="eastAsia" w:ascii="宋体" w:hAnsi="宋体" w:cs="宋体"/>
                <w:highlight w:val="none"/>
              </w:rPr>
              <w:t>第二章第</w:t>
            </w:r>
            <w:r>
              <w:rPr>
                <w:rFonts w:ascii="宋体" w:hAnsi="宋体" w:cs="宋体"/>
                <w:highlight w:val="none"/>
              </w:rPr>
              <w:t>16.4</w:t>
            </w:r>
            <w:r>
              <w:rPr>
                <w:rFonts w:hint="eastAsia" w:ascii="宋体" w:hAnsi="宋体" w:cs="宋体"/>
                <w:highlight w:val="none"/>
              </w:rPr>
              <w:t>款</w:t>
            </w:r>
          </w:p>
        </w:tc>
        <w:tc>
          <w:tcPr>
            <w:tcW w:w="1091" w:type="dxa"/>
            <w:vAlign w:val="center"/>
          </w:tcPr>
          <w:p>
            <w:pPr>
              <w:adjustRightInd w:val="0"/>
              <w:snapToGrid w:val="0"/>
              <w:spacing w:line="360" w:lineRule="auto"/>
              <w:rPr>
                <w:rFonts w:ascii="宋体" w:cs="宋体"/>
                <w:highlight w:val="none"/>
              </w:rPr>
            </w:pPr>
            <w:r>
              <w:rPr>
                <w:rFonts w:hint="eastAsia" w:ascii="宋体" w:hAnsi="宋体" w:cs="宋体"/>
                <w:highlight w:val="none"/>
              </w:rPr>
              <w:t>采购项目预算</w:t>
            </w:r>
          </w:p>
        </w:tc>
        <w:tc>
          <w:tcPr>
            <w:tcW w:w="7191" w:type="dxa"/>
            <w:vAlign w:val="center"/>
          </w:tcPr>
          <w:p>
            <w:pPr>
              <w:pStyle w:val="2"/>
              <w:ind w:left="0" w:leftChars="0"/>
              <w:rPr>
                <w:highlight w:val="none"/>
              </w:rPr>
            </w:pPr>
            <w:r>
              <w:rPr>
                <w:rFonts w:hint="eastAsia"/>
                <w:highlight w:val="none"/>
              </w:rPr>
              <w:t>100000.00元</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 w:hRule="atLeast"/>
          <w:tblHeader/>
          <w:jc w:val="center"/>
        </w:trPr>
        <w:tc>
          <w:tcPr>
            <w:tcW w:w="1844" w:type="dxa"/>
            <w:vAlign w:val="center"/>
          </w:tcPr>
          <w:p>
            <w:pPr>
              <w:adjustRightInd w:val="0"/>
              <w:snapToGrid w:val="0"/>
              <w:spacing w:line="360" w:lineRule="auto"/>
              <w:jc w:val="center"/>
              <w:rPr>
                <w:rFonts w:ascii="宋体" w:cs="Times New Roman"/>
                <w:highlight w:val="none"/>
              </w:rPr>
            </w:pPr>
            <w:r>
              <w:rPr>
                <w:rFonts w:hint="eastAsia" w:ascii="宋体" w:hAnsi="宋体" w:cs="宋体"/>
                <w:highlight w:val="none"/>
              </w:rPr>
              <w:t>第二章第</w:t>
            </w:r>
            <w:r>
              <w:rPr>
                <w:rFonts w:ascii="宋体" w:hAnsi="宋体" w:cs="宋体"/>
                <w:highlight w:val="none"/>
              </w:rPr>
              <w:t>17.3</w:t>
            </w:r>
            <w:r>
              <w:rPr>
                <w:rFonts w:hint="eastAsia" w:ascii="宋体" w:hAnsi="宋体" w:cs="宋体"/>
                <w:highlight w:val="none"/>
              </w:rPr>
              <w:t>款</w:t>
            </w:r>
          </w:p>
        </w:tc>
        <w:tc>
          <w:tcPr>
            <w:tcW w:w="1091" w:type="dxa"/>
            <w:vAlign w:val="center"/>
          </w:tcPr>
          <w:p>
            <w:pPr>
              <w:adjustRightInd w:val="0"/>
              <w:snapToGrid w:val="0"/>
              <w:spacing w:line="360" w:lineRule="auto"/>
              <w:rPr>
                <w:rFonts w:ascii="宋体" w:cs="Times New Roman"/>
                <w:highlight w:val="none"/>
              </w:rPr>
            </w:pPr>
            <w:r>
              <w:rPr>
                <w:rFonts w:hint="eastAsia" w:ascii="宋体" w:hAnsi="宋体" w:cs="宋体"/>
                <w:highlight w:val="none"/>
              </w:rPr>
              <w:t>非制造商的证明文件</w:t>
            </w:r>
          </w:p>
        </w:tc>
        <w:tc>
          <w:tcPr>
            <w:tcW w:w="7191" w:type="dxa"/>
            <w:vAlign w:val="center"/>
          </w:tcPr>
          <w:p>
            <w:pPr>
              <w:adjustRightInd w:val="0"/>
              <w:snapToGrid w:val="0"/>
              <w:spacing w:before="156" w:beforeLines="50" w:line="360" w:lineRule="auto"/>
              <w:rPr>
                <w:rFonts w:ascii="宋体" w:cs="Times New Roman"/>
                <w:highlight w:val="none"/>
              </w:rPr>
            </w:pPr>
            <w:r>
              <w:rPr>
                <w:rFonts w:hint="eastAsia" w:ascii="宋体" w:hAnsi="宋体" w:cs="宋体"/>
                <w:highlight w:val="none"/>
              </w:rPr>
              <w:t>☑不要求提供</w:t>
            </w:r>
          </w:p>
          <w:p>
            <w:pPr>
              <w:adjustRightInd w:val="0"/>
              <w:snapToGrid w:val="0"/>
              <w:spacing w:before="156" w:beforeLines="50" w:line="360" w:lineRule="auto"/>
              <w:rPr>
                <w:rFonts w:ascii="宋体" w:cs="Times New Roman"/>
                <w:highlight w:val="none"/>
              </w:rPr>
            </w:pPr>
            <w:r>
              <w:rPr>
                <w:rFonts w:hint="eastAsia" w:ascii="宋体" w:hAnsi="宋体" w:cs="宋体"/>
                <w:highlight w:val="none"/>
              </w:rPr>
              <w:t>□要求提供：（证明文件复印件须加盖供应商单位公章，否则视为无效响应。）</w:t>
            </w:r>
          </w:p>
          <w:p>
            <w:pPr>
              <w:adjustRightInd w:val="0"/>
              <w:snapToGrid w:val="0"/>
              <w:spacing w:before="156" w:beforeLines="50" w:line="360" w:lineRule="auto"/>
              <w:rPr>
                <w:rFonts w:ascii="宋体" w:cs="Times New Roman"/>
                <w:highlight w:val="none"/>
              </w:rPr>
            </w:pPr>
            <w:r>
              <w:rPr>
                <w:rFonts w:hint="eastAsia" w:ascii="宋体" w:hAnsi="宋体" w:cs="宋体"/>
                <w:highlight w:val="none"/>
              </w:rPr>
              <w:t>经销、或代理投标货物、或为投标货物提供售后服务的证明文件。</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 w:hRule="atLeast"/>
          <w:tblHeader/>
          <w:jc w:val="center"/>
        </w:trPr>
        <w:tc>
          <w:tcPr>
            <w:tcW w:w="1844" w:type="dxa"/>
            <w:vAlign w:val="center"/>
          </w:tcPr>
          <w:p>
            <w:pPr>
              <w:adjustRightInd w:val="0"/>
              <w:snapToGrid w:val="0"/>
              <w:spacing w:line="360" w:lineRule="auto"/>
              <w:jc w:val="center"/>
              <w:rPr>
                <w:rFonts w:ascii="宋体" w:cs="Times New Roman"/>
                <w:highlight w:val="none"/>
              </w:rPr>
            </w:pPr>
            <w:r>
              <w:rPr>
                <w:rFonts w:hint="eastAsia" w:ascii="宋体" w:hAnsi="宋体" w:cs="宋体"/>
                <w:highlight w:val="none"/>
              </w:rPr>
              <w:t>第二章第</w:t>
            </w:r>
            <w:r>
              <w:rPr>
                <w:rFonts w:ascii="宋体" w:hAnsi="宋体" w:cs="宋体"/>
                <w:highlight w:val="none"/>
              </w:rPr>
              <w:t>18.1</w:t>
            </w:r>
            <w:r>
              <w:rPr>
                <w:rFonts w:hint="eastAsia" w:ascii="宋体" w:hAnsi="宋体" w:cs="宋体"/>
                <w:highlight w:val="none"/>
              </w:rPr>
              <w:t>款</w:t>
            </w:r>
          </w:p>
        </w:tc>
        <w:tc>
          <w:tcPr>
            <w:tcW w:w="1091" w:type="dxa"/>
            <w:vAlign w:val="center"/>
          </w:tcPr>
          <w:p>
            <w:pPr>
              <w:adjustRightInd w:val="0"/>
              <w:snapToGrid w:val="0"/>
              <w:spacing w:line="360" w:lineRule="auto"/>
              <w:rPr>
                <w:rFonts w:ascii="宋体" w:cs="Times New Roman"/>
                <w:highlight w:val="none"/>
              </w:rPr>
            </w:pPr>
            <w:r>
              <w:rPr>
                <w:rFonts w:hint="eastAsia" w:ascii="宋体" w:hAnsi="宋体" w:cs="宋体"/>
                <w:highlight w:val="none"/>
              </w:rPr>
              <w:t>样品提供及样品提交的时间、地点</w:t>
            </w:r>
          </w:p>
        </w:tc>
        <w:tc>
          <w:tcPr>
            <w:tcW w:w="7191" w:type="dxa"/>
            <w:vAlign w:val="center"/>
          </w:tcPr>
          <w:p>
            <w:pPr>
              <w:adjustRightInd w:val="0"/>
              <w:snapToGrid w:val="0"/>
              <w:spacing w:before="156" w:beforeLines="50" w:line="360" w:lineRule="auto"/>
              <w:rPr>
                <w:rFonts w:ascii="宋体" w:cs="Times New Roman"/>
                <w:highlight w:val="none"/>
              </w:rPr>
            </w:pPr>
            <w:r>
              <w:rPr>
                <w:rFonts w:hint="eastAsia" w:ascii="宋体" w:hAnsi="宋体" w:cs="宋体"/>
                <w:highlight w:val="none"/>
              </w:rPr>
              <w:t>☑不要求提供</w:t>
            </w:r>
          </w:p>
          <w:p>
            <w:pPr>
              <w:adjustRightInd w:val="0"/>
              <w:snapToGrid w:val="0"/>
              <w:spacing w:before="156" w:beforeLines="50" w:line="360" w:lineRule="auto"/>
              <w:rPr>
                <w:rFonts w:ascii="宋体" w:cs="Times New Roman"/>
                <w:highlight w:val="none"/>
              </w:rPr>
            </w:pPr>
            <w:r>
              <w:rPr>
                <w:rFonts w:hint="eastAsia" w:ascii="宋体" w:hAnsi="宋体" w:cs="宋体"/>
                <w:highlight w:val="none"/>
              </w:rPr>
              <w:t>□要求提供，提交的样品</w:t>
            </w:r>
            <w:r>
              <w:rPr>
                <w:rFonts w:ascii="宋体" w:hAnsi="宋体" w:cs="宋体"/>
                <w:highlight w:val="none"/>
              </w:rPr>
              <w:t>:,</w:t>
            </w:r>
            <w:r>
              <w:rPr>
                <w:rFonts w:hint="eastAsia" w:ascii="宋体" w:hAnsi="宋体" w:cs="宋体"/>
                <w:highlight w:val="none"/>
              </w:rPr>
              <w:t>提交的时间：、地点</w:t>
            </w:r>
            <w:r>
              <w:rPr>
                <w:rFonts w:ascii="宋体" w:hAnsi="宋体" w:cs="宋体"/>
                <w:highlight w:val="none"/>
              </w:rPr>
              <w:t xml:space="preserve">: </w:t>
            </w:r>
            <w:r>
              <w:rPr>
                <w:rFonts w:hint="eastAsia" w:ascii="宋体" w:hAnsi="宋体" w:cs="宋体"/>
                <w:highlight w:val="none"/>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181" w:hRule="atLeast"/>
          <w:tblHeader/>
          <w:jc w:val="center"/>
        </w:trPr>
        <w:tc>
          <w:tcPr>
            <w:tcW w:w="1844" w:type="dxa"/>
            <w:vAlign w:val="center"/>
          </w:tcPr>
          <w:p>
            <w:pPr>
              <w:adjustRightInd w:val="0"/>
              <w:snapToGrid w:val="0"/>
              <w:spacing w:line="360" w:lineRule="auto"/>
              <w:jc w:val="center"/>
              <w:rPr>
                <w:rFonts w:ascii="宋体" w:cs="Times New Roman"/>
                <w:highlight w:val="none"/>
              </w:rPr>
            </w:pPr>
            <w:r>
              <w:rPr>
                <w:rFonts w:hint="eastAsia" w:ascii="宋体" w:hAnsi="宋体" w:cs="宋体"/>
                <w:highlight w:val="none"/>
              </w:rPr>
              <w:t>第二章第</w:t>
            </w:r>
            <w:r>
              <w:rPr>
                <w:rFonts w:ascii="宋体" w:hAnsi="宋体" w:cs="宋体"/>
                <w:highlight w:val="none"/>
              </w:rPr>
              <w:t>19.1</w:t>
            </w:r>
            <w:r>
              <w:rPr>
                <w:rFonts w:hint="eastAsia" w:ascii="宋体" w:hAnsi="宋体" w:cs="宋体"/>
                <w:highlight w:val="none"/>
              </w:rPr>
              <w:t>款</w:t>
            </w:r>
          </w:p>
        </w:tc>
        <w:tc>
          <w:tcPr>
            <w:tcW w:w="1091" w:type="dxa"/>
            <w:vAlign w:val="center"/>
          </w:tcPr>
          <w:p>
            <w:pPr>
              <w:adjustRightInd w:val="0"/>
              <w:snapToGrid w:val="0"/>
              <w:spacing w:line="360" w:lineRule="auto"/>
              <w:ind w:left="-533" w:leftChars="-254" w:firstLine="533" w:firstLineChars="254"/>
              <w:rPr>
                <w:rFonts w:ascii="宋体" w:cs="Times New Roman"/>
                <w:highlight w:val="none"/>
              </w:rPr>
            </w:pPr>
            <w:r>
              <w:rPr>
                <w:rFonts w:hint="eastAsia" w:ascii="宋体" w:hAnsi="宋体" w:cs="宋体"/>
                <w:highlight w:val="none"/>
              </w:rPr>
              <w:t>磋商保证金</w:t>
            </w:r>
          </w:p>
        </w:tc>
        <w:tc>
          <w:tcPr>
            <w:tcW w:w="7191" w:type="dxa"/>
            <w:vAlign w:val="center"/>
          </w:tcPr>
          <w:p>
            <w:pPr>
              <w:adjustRightInd w:val="0"/>
              <w:snapToGrid w:val="0"/>
              <w:spacing w:line="360" w:lineRule="auto"/>
              <w:rPr>
                <w:rFonts w:ascii="宋体" w:cs="Times New Roman"/>
                <w:highlight w:val="none"/>
              </w:rPr>
            </w:pPr>
            <w:r>
              <w:rPr>
                <w:rFonts w:hint="eastAsia" w:ascii="宋体" w:hAnsi="宋体" w:cs="宋体"/>
                <w:highlight w:val="none"/>
              </w:rPr>
              <w:t>☑不要求提供</w:t>
            </w:r>
          </w:p>
          <w:p>
            <w:pPr>
              <w:spacing w:line="400" w:lineRule="exact"/>
              <w:rPr>
                <w:rFonts w:ascii="宋体" w:cs="Times New Roman"/>
                <w:highlight w:val="none"/>
              </w:rPr>
            </w:pPr>
            <w:r>
              <w:rPr>
                <w:rFonts w:hint="eastAsia" w:ascii="宋体" w:hAnsi="宋体" w:cs="宋体"/>
                <w:highlight w:val="none"/>
              </w:rPr>
              <w:t>□要求提供</w:t>
            </w:r>
          </w:p>
          <w:p>
            <w:pPr>
              <w:spacing w:line="400" w:lineRule="exact"/>
              <w:rPr>
                <w:rFonts w:ascii="宋体" w:cs="Times New Roman"/>
                <w:highlight w:val="none"/>
              </w:rPr>
            </w:pPr>
            <w:r>
              <w:rPr>
                <w:rFonts w:ascii="宋体" w:hAnsi="宋体" w:cs="宋体"/>
                <w:highlight w:val="none"/>
              </w:rPr>
              <w:t>1</w:t>
            </w:r>
            <w:r>
              <w:rPr>
                <w:rFonts w:hint="eastAsia" w:ascii="宋体" w:hAnsi="宋体" w:cs="宋体"/>
                <w:highlight w:val="none"/>
              </w:rPr>
              <w:t>、保证金数额：</w:t>
            </w:r>
            <w:r>
              <w:rPr>
                <w:rFonts w:ascii="宋体" w:hAnsi="宋体" w:cs="宋体"/>
                <w:highlight w:val="none"/>
              </w:rPr>
              <w:t>/</w:t>
            </w:r>
          </w:p>
          <w:p>
            <w:pPr>
              <w:spacing w:line="400" w:lineRule="exact"/>
              <w:rPr>
                <w:rFonts w:ascii="宋体" w:hAnsi="宋体" w:cs="宋体"/>
                <w:highlight w:val="none"/>
              </w:rPr>
            </w:pPr>
            <w:r>
              <w:rPr>
                <w:rFonts w:ascii="宋体" w:hAnsi="宋体" w:cs="宋体"/>
                <w:highlight w:val="none"/>
              </w:rPr>
              <w:t>2</w:t>
            </w:r>
            <w:r>
              <w:rPr>
                <w:rFonts w:hint="eastAsia" w:ascii="宋体" w:hAnsi="宋体" w:cs="宋体"/>
                <w:highlight w:val="none"/>
              </w:rPr>
              <w:t>、缴纳方式：保证金必须是从供应商单位账户转（汇）入投标保证金的托管账户管理，以现金方式和非供应商单位账户提交的投标保证金无效；</w:t>
            </w:r>
          </w:p>
          <w:p>
            <w:pPr>
              <w:pStyle w:val="2"/>
              <w:ind w:left="0" w:leftChars="0"/>
              <w:jc w:val="both"/>
              <w:rPr>
                <w:highlight w:val="none"/>
              </w:rPr>
            </w:pPr>
            <w:r>
              <w:rPr>
                <w:rFonts w:hint="eastAsia"/>
                <w:highlight w:val="none"/>
              </w:rPr>
              <w:t>3、缴纳时间：递交响应文件的截止时间前。</w:t>
            </w:r>
          </w:p>
          <w:p>
            <w:pPr>
              <w:rPr>
                <w:rFonts w:ascii="宋体" w:hAnsi="宋体" w:cs="宋体"/>
                <w:highlight w:val="none"/>
              </w:rPr>
            </w:pPr>
            <w:r>
              <w:rPr>
                <w:rFonts w:hint="eastAsia" w:ascii="宋体" w:hAnsi="宋体" w:cs="宋体"/>
                <w:b/>
                <w:bCs/>
                <w:highlight w:val="none"/>
              </w:rPr>
              <w:t>账户名称：</w:t>
            </w:r>
            <w:r>
              <w:rPr>
                <w:rFonts w:ascii="宋体" w:hAnsi="宋体" w:cs="宋体"/>
                <w:b/>
                <w:bCs/>
                <w:highlight w:val="none"/>
              </w:rPr>
              <w:t>湖南建业管理咨询有限公司政府采购保证金专户</w:t>
            </w:r>
          </w:p>
          <w:p>
            <w:pPr>
              <w:rPr>
                <w:rFonts w:ascii="宋体" w:hAnsi="宋体" w:cs="宋体"/>
                <w:b/>
                <w:bCs/>
                <w:highlight w:val="none"/>
              </w:rPr>
            </w:pPr>
            <w:r>
              <w:rPr>
                <w:rFonts w:ascii="宋体" w:hAnsi="宋体" w:cs="宋体"/>
                <w:b/>
                <w:bCs/>
                <w:highlight w:val="none"/>
              </w:rPr>
              <w:t>开 户 行：华夏银行株洲支行</w:t>
            </w:r>
          </w:p>
          <w:p>
            <w:pPr>
              <w:rPr>
                <w:rFonts w:ascii="宋体" w:hAnsi="宋体" w:cs="宋体"/>
                <w:b/>
                <w:bCs/>
                <w:highlight w:val="none"/>
              </w:rPr>
            </w:pPr>
            <w:r>
              <w:rPr>
                <w:rFonts w:ascii="宋体" w:hAnsi="宋体" w:cs="宋体"/>
                <w:b/>
                <w:bCs/>
                <w:highlight w:val="none"/>
              </w:rPr>
              <w:t>银行帐号：1345 4000 0000 20460</w:t>
            </w:r>
          </w:p>
          <w:p>
            <w:pPr>
              <w:adjustRightInd w:val="0"/>
              <w:snapToGrid w:val="0"/>
              <w:spacing w:line="360" w:lineRule="auto"/>
              <w:rPr>
                <w:rFonts w:ascii="宋体" w:cs="Times New Roman"/>
                <w:highlight w:val="none"/>
              </w:rPr>
            </w:pPr>
            <w:r>
              <w:rPr>
                <w:rFonts w:hint="eastAsia" w:ascii="宋体" w:hAnsi="宋体" w:cs="宋体"/>
                <w:highlight w:val="none"/>
              </w:rPr>
              <w:t xml:space="preserve">在转账票据摘要处须注明：“ </w:t>
            </w:r>
            <w:r>
              <w:rPr>
                <w:rFonts w:hint="eastAsia" w:ascii="宋体" w:hAnsi="宋体" w:cs="宋体"/>
                <w:highlight w:val="none"/>
                <w:u w:val="single"/>
              </w:rPr>
              <w:t xml:space="preserve">  （项目名称）   </w:t>
            </w:r>
            <w:r>
              <w:rPr>
                <w:rFonts w:hint="eastAsia" w:ascii="宋体" w:hAnsi="宋体" w:cs="宋体"/>
                <w:highlight w:val="none"/>
              </w:rPr>
              <w:t>投标保证金”。（如“项目名称”字符过多，转账票据摘要处填写不下的，则“取‘项目名称’前面字符”填入。）</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0" w:hRule="atLeast"/>
          <w:tblHeader/>
          <w:jc w:val="center"/>
        </w:trPr>
        <w:tc>
          <w:tcPr>
            <w:tcW w:w="1844" w:type="dxa"/>
            <w:vAlign w:val="center"/>
          </w:tcPr>
          <w:p>
            <w:pPr>
              <w:adjustRightInd w:val="0"/>
              <w:snapToGrid w:val="0"/>
              <w:spacing w:line="360" w:lineRule="auto"/>
              <w:jc w:val="center"/>
              <w:rPr>
                <w:rFonts w:ascii="宋体" w:cs="Times New Roman"/>
                <w:highlight w:val="none"/>
              </w:rPr>
            </w:pPr>
            <w:r>
              <w:rPr>
                <w:rFonts w:hint="eastAsia" w:ascii="宋体" w:hAnsi="宋体" w:cs="宋体"/>
                <w:highlight w:val="none"/>
              </w:rPr>
              <w:t>第二章第</w:t>
            </w:r>
            <w:r>
              <w:rPr>
                <w:rFonts w:ascii="宋体" w:hAnsi="宋体" w:cs="宋体"/>
                <w:highlight w:val="none"/>
              </w:rPr>
              <w:t>20.1</w:t>
            </w:r>
            <w:r>
              <w:rPr>
                <w:rFonts w:hint="eastAsia" w:ascii="宋体" w:hAnsi="宋体" w:cs="宋体"/>
                <w:highlight w:val="none"/>
              </w:rPr>
              <w:t>款</w:t>
            </w:r>
          </w:p>
        </w:tc>
        <w:tc>
          <w:tcPr>
            <w:tcW w:w="1091" w:type="dxa"/>
            <w:vAlign w:val="center"/>
          </w:tcPr>
          <w:p>
            <w:pPr>
              <w:adjustRightInd w:val="0"/>
              <w:snapToGrid w:val="0"/>
              <w:spacing w:line="360" w:lineRule="auto"/>
              <w:rPr>
                <w:rFonts w:ascii="宋体" w:cs="Times New Roman"/>
                <w:highlight w:val="none"/>
              </w:rPr>
            </w:pPr>
            <w:r>
              <w:rPr>
                <w:rFonts w:hint="eastAsia" w:ascii="宋体" w:hAnsi="宋体" w:cs="宋体"/>
                <w:highlight w:val="none"/>
              </w:rPr>
              <w:t>响应文件有效期</w:t>
            </w:r>
          </w:p>
        </w:tc>
        <w:tc>
          <w:tcPr>
            <w:tcW w:w="7191" w:type="dxa"/>
            <w:vAlign w:val="center"/>
          </w:tcPr>
          <w:p>
            <w:pPr>
              <w:adjustRightInd w:val="0"/>
              <w:snapToGrid w:val="0"/>
              <w:spacing w:line="360" w:lineRule="auto"/>
              <w:rPr>
                <w:rFonts w:ascii="宋体" w:cs="Times New Roman"/>
                <w:highlight w:val="none"/>
              </w:rPr>
            </w:pPr>
            <w:r>
              <w:rPr>
                <w:rFonts w:ascii="宋体" w:hAnsi="宋体" w:cs="宋体"/>
                <w:highlight w:val="none"/>
                <w:u w:val="single"/>
              </w:rPr>
              <w:t xml:space="preserve">  </w:t>
            </w:r>
            <w:r>
              <w:rPr>
                <w:rFonts w:hint="eastAsia" w:ascii="宋体" w:hAnsi="宋体" w:cs="宋体"/>
                <w:highlight w:val="none"/>
                <w:u w:val="single"/>
              </w:rPr>
              <w:t>9</w:t>
            </w:r>
            <w:r>
              <w:rPr>
                <w:rFonts w:ascii="宋体" w:hAnsi="宋体" w:cs="宋体"/>
                <w:highlight w:val="none"/>
                <w:u w:val="single"/>
              </w:rPr>
              <w:t xml:space="preserve">0  </w:t>
            </w:r>
            <w:r>
              <w:rPr>
                <w:rFonts w:hint="eastAsia" w:ascii="宋体" w:hAnsi="宋体" w:cs="宋体"/>
                <w:highlight w:val="none"/>
              </w:rPr>
              <w:t>日（日历日）</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0" w:hRule="atLeast"/>
          <w:tblHeader/>
          <w:jc w:val="center"/>
        </w:trPr>
        <w:tc>
          <w:tcPr>
            <w:tcW w:w="1844" w:type="dxa"/>
            <w:vAlign w:val="center"/>
          </w:tcPr>
          <w:p>
            <w:pPr>
              <w:adjustRightInd w:val="0"/>
              <w:snapToGrid w:val="0"/>
              <w:spacing w:line="360" w:lineRule="auto"/>
              <w:jc w:val="center"/>
              <w:rPr>
                <w:rFonts w:ascii="宋体" w:cs="Times New Roman"/>
                <w:highlight w:val="none"/>
              </w:rPr>
            </w:pPr>
            <w:r>
              <w:rPr>
                <w:rFonts w:hint="eastAsia" w:ascii="宋体" w:hAnsi="宋体" w:cs="宋体"/>
                <w:highlight w:val="none"/>
              </w:rPr>
              <w:t>第二章第</w:t>
            </w:r>
            <w:r>
              <w:rPr>
                <w:rFonts w:ascii="宋体" w:hAnsi="宋体" w:cs="宋体"/>
                <w:highlight w:val="none"/>
              </w:rPr>
              <w:t>21.1</w:t>
            </w:r>
            <w:r>
              <w:rPr>
                <w:rFonts w:hint="eastAsia" w:ascii="宋体" w:hAnsi="宋体" w:cs="宋体"/>
                <w:highlight w:val="none"/>
              </w:rPr>
              <w:t>款</w:t>
            </w:r>
          </w:p>
        </w:tc>
        <w:tc>
          <w:tcPr>
            <w:tcW w:w="1091" w:type="dxa"/>
            <w:vAlign w:val="center"/>
          </w:tcPr>
          <w:p>
            <w:pPr>
              <w:adjustRightInd w:val="0"/>
              <w:snapToGrid w:val="0"/>
              <w:spacing w:line="360" w:lineRule="auto"/>
              <w:rPr>
                <w:rFonts w:ascii="宋体" w:cs="Times New Roman"/>
                <w:highlight w:val="none"/>
              </w:rPr>
            </w:pPr>
            <w:r>
              <w:rPr>
                <w:rFonts w:hint="eastAsia" w:ascii="宋体" w:hAnsi="宋体" w:cs="宋体"/>
                <w:highlight w:val="none"/>
              </w:rPr>
              <w:t>响应文件副本份数</w:t>
            </w:r>
          </w:p>
        </w:tc>
        <w:tc>
          <w:tcPr>
            <w:tcW w:w="7191" w:type="dxa"/>
            <w:vAlign w:val="center"/>
          </w:tcPr>
          <w:p>
            <w:pPr>
              <w:numPr>
                <w:ilvl w:val="0"/>
                <w:numId w:val="2"/>
              </w:numPr>
              <w:adjustRightInd w:val="0"/>
              <w:snapToGrid w:val="0"/>
              <w:spacing w:line="360" w:lineRule="auto"/>
              <w:rPr>
                <w:rFonts w:ascii="宋体" w:hAnsi="宋体" w:cs="Times New Roman"/>
                <w:highlight w:val="none"/>
              </w:rPr>
            </w:pPr>
            <w:r>
              <w:rPr>
                <w:rFonts w:hint="eastAsia" w:ascii="宋体" w:hAnsi="宋体" w:cs="Times New Roman"/>
                <w:highlight w:val="none"/>
              </w:rPr>
              <w:t>投标文件份数：正本壹份，副本叁份。</w:t>
            </w:r>
          </w:p>
          <w:p>
            <w:pPr>
              <w:adjustRightInd w:val="0"/>
              <w:snapToGrid w:val="0"/>
              <w:spacing w:line="360" w:lineRule="auto"/>
              <w:rPr>
                <w:rFonts w:ascii="宋体" w:cs="Times New Roman"/>
                <w:highlight w:val="none"/>
                <w:u w:val="single"/>
              </w:rPr>
            </w:pPr>
            <w:r>
              <w:rPr>
                <w:rFonts w:hint="eastAsia" w:ascii="宋体" w:hAnsi="宋体" w:cs="Times New Roman"/>
                <w:highlight w:val="none"/>
              </w:rPr>
              <w:t>2、电子文件：U盘单独密封，不装入响应文件，与响应文件一同递交。</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 w:hRule="atLeast"/>
          <w:tblHeader/>
          <w:jc w:val="center"/>
        </w:trPr>
        <w:tc>
          <w:tcPr>
            <w:tcW w:w="10126" w:type="dxa"/>
            <w:gridSpan w:val="3"/>
            <w:vAlign w:val="center"/>
          </w:tcPr>
          <w:p>
            <w:pPr>
              <w:adjustRightInd w:val="0"/>
              <w:snapToGrid w:val="0"/>
              <w:spacing w:line="360" w:lineRule="auto"/>
              <w:rPr>
                <w:rFonts w:ascii="宋体" w:cs="Times New Roman"/>
                <w:b/>
                <w:bCs/>
                <w:highlight w:val="none"/>
              </w:rPr>
            </w:pPr>
            <w:r>
              <w:rPr>
                <w:rFonts w:hint="eastAsia" w:ascii="宋体" w:hAnsi="宋体" w:cs="宋体"/>
                <w:b/>
                <w:bCs/>
                <w:highlight w:val="none"/>
              </w:rPr>
              <w:t>四、响应文件的递交</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077" w:hRule="atLeast"/>
          <w:tblHeader/>
          <w:jc w:val="center"/>
        </w:trPr>
        <w:tc>
          <w:tcPr>
            <w:tcW w:w="1844" w:type="dxa"/>
            <w:vAlign w:val="center"/>
          </w:tcPr>
          <w:p>
            <w:pPr>
              <w:adjustRightInd w:val="0"/>
              <w:snapToGrid w:val="0"/>
              <w:spacing w:line="360" w:lineRule="auto"/>
              <w:jc w:val="center"/>
              <w:rPr>
                <w:rFonts w:ascii="宋体" w:cs="Times New Roman"/>
                <w:highlight w:val="none"/>
              </w:rPr>
            </w:pPr>
            <w:r>
              <w:rPr>
                <w:rFonts w:hint="eastAsia" w:ascii="宋体" w:hAnsi="宋体" w:cs="宋体"/>
                <w:highlight w:val="none"/>
              </w:rPr>
              <w:t>第二章第</w:t>
            </w:r>
            <w:r>
              <w:rPr>
                <w:rFonts w:ascii="宋体" w:hAnsi="宋体" w:cs="宋体"/>
                <w:highlight w:val="none"/>
              </w:rPr>
              <w:t>22.2</w:t>
            </w:r>
            <w:r>
              <w:rPr>
                <w:rFonts w:hint="eastAsia" w:ascii="宋体" w:hAnsi="宋体" w:cs="宋体"/>
                <w:highlight w:val="none"/>
              </w:rPr>
              <w:t>款</w:t>
            </w:r>
          </w:p>
        </w:tc>
        <w:tc>
          <w:tcPr>
            <w:tcW w:w="1091" w:type="dxa"/>
            <w:vAlign w:val="center"/>
          </w:tcPr>
          <w:p>
            <w:pPr>
              <w:adjustRightInd w:val="0"/>
              <w:snapToGrid w:val="0"/>
              <w:spacing w:line="360" w:lineRule="auto"/>
              <w:rPr>
                <w:rFonts w:ascii="宋体" w:cs="Times New Roman"/>
                <w:highlight w:val="none"/>
              </w:rPr>
            </w:pPr>
            <w:r>
              <w:rPr>
                <w:rFonts w:hint="eastAsia" w:ascii="宋体" w:hAnsi="宋体" w:cs="宋体"/>
                <w:highlight w:val="none"/>
              </w:rPr>
              <w:t>封套上应载明的信息</w:t>
            </w:r>
          </w:p>
        </w:tc>
        <w:tc>
          <w:tcPr>
            <w:tcW w:w="7191" w:type="dxa"/>
            <w:vAlign w:val="center"/>
          </w:tcPr>
          <w:p>
            <w:pPr>
              <w:spacing w:line="360" w:lineRule="auto"/>
              <w:rPr>
                <w:rFonts w:ascii="宋体" w:hAnsi="宋体" w:cs="宋体"/>
                <w:highlight w:val="none"/>
              </w:rPr>
            </w:pPr>
            <w:r>
              <w:rPr>
                <w:rFonts w:hint="eastAsia" w:ascii="宋体" w:hAnsi="宋体" w:cs="宋体"/>
                <w:highlight w:val="none"/>
                <w:u w:val="single"/>
              </w:rPr>
              <w:t xml:space="preserve">                   </w:t>
            </w:r>
            <w:r>
              <w:rPr>
                <w:rFonts w:hint="eastAsia" w:ascii="宋体" w:hAnsi="宋体" w:cs="宋体"/>
                <w:highlight w:val="none"/>
              </w:rPr>
              <w:t>响应文件</w:t>
            </w:r>
          </w:p>
          <w:p>
            <w:pPr>
              <w:adjustRightInd w:val="0"/>
              <w:snapToGrid w:val="0"/>
              <w:spacing w:line="360" w:lineRule="auto"/>
              <w:rPr>
                <w:rFonts w:ascii="宋体" w:hAnsi="宋体" w:cs="宋体"/>
                <w:highlight w:val="none"/>
              </w:rPr>
            </w:pPr>
            <w:r>
              <w:rPr>
                <w:rFonts w:hint="eastAsia" w:ascii="宋体" w:hAnsi="宋体" w:cs="宋体"/>
                <w:highlight w:val="none"/>
              </w:rPr>
              <w:t xml:space="preserve">委托代理编号： </w:t>
            </w:r>
          </w:p>
          <w:p>
            <w:pPr>
              <w:adjustRightInd w:val="0"/>
              <w:snapToGrid w:val="0"/>
              <w:spacing w:line="360" w:lineRule="auto"/>
              <w:rPr>
                <w:rFonts w:ascii="宋体" w:hAnsi="宋体" w:cs="宋体"/>
                <w:highlight w:val="none"/>
              </w:rPr>
            </w:pPr>
            <w:r>
              <w:rPr>
                <w:rFonts w:hint="eastAsia" w:ascii="宋体" w:hAnsi="宋体" w:cs="宋体"/>
                <w:highlight w:val="none"/>
              </w:rPr>
              <w:t>供应商名称：</w:t>
            </w:r>
          </w:p>
          <w:p>
            <w:pPr>
              <w:adjustRightInd w:val="0"/>
              <w:snapToGrid w:val="0"/>
              <w:spacing w:line="360" w:lineRule="auto"/>
              <w:rPr>
                <w:rFonts w:ascii="宋体" w:hAnsi="宋体" w:cs="宋体"/>
                <w:highlight w:val="none"/>
              </w:rPr>
            </w:pPr>
            <w:r>
              <w:rPr>
                <w:rFonts w:hint="eastAsia" w:ascii="宋体" w:hAnsi="宋体" w:cs="宋体"/>
                <w:highlight w:val="none"/>
              </w:rPr>
              <w:t>在   年   月   日   时    分之前不得启封</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0" w:hRule="atLeast"/>
          <w:tblHeader/>
          <w:jc w:val="center"/>
        </w:trPr>
        <w:tc>
          <w:tcPr>
            <w:tcW w:w="1844" w:type="dxa"/>
            <w:vAlign w:val="center"/>
          </w:tcPr>
          <w:p>
            <w:pPr>
              <w:adjustRightInd w:val="0"/>
              <w:snapToGrid w:val="0"/>
              <w:spacing w:line="360" w:lineRule="auto"/>
              <w:jc w:val="center"/>
              <w:rPr>
                <w:rFonts w:ascii="宋体" w:cs="Times New Roman"/>
                <w:highlight w:val="none"/>
              </w:rPr>
            </w:pPr>
            <w:r>
              <w:rPr>
                <w:rFonts w:hint="eastAsia" w:ascii="宋体" w:hAnsi="宋体" w:cs="宋体"/>
                <w:highlight w:val="none"/>
              </w:rPr>
              <w:t>第二章第</w:t>
            </w:r>
            <w:r>
              <w:rPr>
                <w:rFonts w:ascii="宋体" w:hAnsi="宋体" w:cs="宋体"/>
                <w:highlight w:val="none"/>
              </w:rPr>
              <w:t>24.1</w:t>
            </w:r>
            <w:r>
              <w:rPr>
                <w:rFonts w:hint="eastAsia" w:ascii="宋体" w:hAnsi="宋体" w:cs="宋体"/>
                <w:highlight w:val="none"/>
              </w:rPr>
              <w:t>款</w:t>
            </w:r>
          </w:p>
        </w:tc>
        <w:tc>
          <w:tcPr>
            <w:tcW w:w="1091" w:type="dxa"/>
            <w:vAlign w:val="center"/>
          </w:tcPr>
          <w:p>
            <w:pPr>
              <w:adjustRightInd w:val="0"/>
              <w:snapToGrid w:val="0"/>
              <w:spacing w:line="360" w:lineRule="auto"/>
              <w:rPr>
                <w:rFonts w:ascii="宋体" w:cs="Times New Roman"/>
                <w:highlight w:val="none"/>
              </w:rPr>
            </w:pPr>
            <w:r>
              <w:rPr>
                <w:rFonts w:hint="eastAsia" w:ascii="宋体" w:hAnsi="宋体" w:cs="宋体"/>
                <w:highlight w:val="none"/>
              </w:rPr>
              <w:t>响应文件的递交地点</w:t>
            </w:r>
          </w:p>
        </w:tc>
        <w:tc>
          <w:tcPr>
            <w:tcW w:w="7191" w:type="dxa"/>
            <w:vAlign w:val="center"/>
          </w:tcPr>
          <w:p>
            <w:pPr>
              <w:adjustRightInd w:val="0"/>
              <w:snapToGrid w:val="0"/>
              <w:spacing w:line="360" w:lineRule="auto"/>
              <w:rPr>
                <w:rFonts w:ascii="宋体" w:cs="Times New Roman"/>
                <w:highlight w:val="none"/>
              </w:rPr>
            </w:pPr>
            <w:r>
              <w:rPr>
                <w:rFonts w:hint="eastAsia" w:ascii="宋体" w:hAnsi="宋体"/>
                <w:highlight w:val="none"/>
              </w:rPr>
              <w:t>长沙市雨花区时代阳光大道西388号轻盐阳光城1栋A座10层</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0" w:hRule="atLeast"/>
          <w:tblHeader/>
          <w:jc w:val="center"/>
        </w:trPr>
        <w:tc>
          <w:tcPr>
            <w:tcW w:w="10126" w:type="dxa"/>
            <w:gridSpan w:val="3"/>
            <w:vAlign w:val="center"/>
          </w:tcPr>
          <w:p>
            <w:pPr>
              <w:adjustRightInd w:val="0"/>
              <w:snapToGrid w:val="0"/>
              <w:spacing w:line="360" w:lineRule="auto"/>
              <w:rPr>
                <w:rFonts w:ascii="宋体" w:cs="Times New Roman"/>
                <w:b/>
                <w:bCs/>
                <w:highlight w:val="none"/>
              </w:rPr>
            </w:pPr>
            <w:r>
              <w:rPr>
                <w:rFonts w:hint="eastAsia" w:ascii="宋体" w:hAnsi="宋体" w:cs="宋体"/>
                <w:b/>
                <w:bCs/>
                <w:highlight w:val="none"/>
              </w:rPr>
              <w:t>五、响应文件的磋商与评审</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0" w:hRule="atLeast"/>
          <w:tblHeader/>
          <w:jc w:val="center"/>
        </w:trPr>
        <w:tc>
          <w:tcPr>
            <w:tcW w:w="1844" w:type="dxa"/>
            <w:vAlign w:val="center"/>
          </w:tcPr>
          <w:p>
            <w:pPr>
              <w:adjustRightInd w:val="0"/>
              <w:snapToGrid w:val="0"/>
              <w:spacing w:line="360" w:lineRule="auto"/>
              <w:jc w:val="center"/>
              <w:rPr>
                <w:rFonts w:ascii="宋体" w:cs="Times New Roman"/>
                <w:highlight w:val="none"/>
              </w:rPr>
            </w:pPr>
            <w:r>
              <w:rPr>
                <w:rFonts w:hint="eastAsia" w:ascii="宋体" w:hAnsi="宋体" w:cs="宋体"/>
                <w:highlight w:val="none"/>
              </w:rPr>
              <w:t>第二章第</w:t>
            </w:r>
            <w:r>
              <w:rPr>
                <w:rFonts w:ascii="宋体" w:hAnsi="宋体" w:cs="宋体"/>
                <w:highlight w:val="none"/>
              </w:rPr>
              <w:t>31.2</w:t>
            </w:r>
            <w:r>
              <w:rPr>
                <w:rFonts w:hint="eastAsia" w:ascii="宋体" w:hAnsi="宋体" w:cs="宋体"/>
                <w:highlight w:val="none"/>
              </w:rPr>
              <w:t>款</w:t>
            </w:r>
          </w:p>
        </w:tc>
        <w:tc>
          <w:tcPr>
            <w:tcW w:w="1091" w:type="dxa"/>
            <w:vAlign w:val="center"/>
          </w:tcPr>
          <w:p>
            <w:pPr>
              <w:adjustRightInd w:val="0"/>
              <w:snapToGrid w:val="0"/>
              <w:spacing w:line="360" w:lineRule="auto"/>
              <w:rPr>
                <w:rFonts w:ascii="宋体" w:cs="Times New Roman"/>
                <w:highlight w:val="none"/>
              </w:rPr>
            </w:pPr>
            <w:r>
              <w:rPr>
                <w:rFonts w:hint="eastAsia" w:ascii="宋体" w:hAnsi="宋体" w:cs="宋体"/>
                <w:highlight w:val="none"/>
              </w:rPr>
              <w:t>评审因素和标准</w:t>
            </w:r>
          </w:p>
        </w:tc>
        <w:tc>
          <w:tcPr>
            <w:tcW w:w="7191" w:type="dxa"/>
            <w:vAlign w:val="center"/>
          </w:tcPr>
          <w:p>
            <w:pPr>
              <w:adjustRightInd w:val="0"/>
              <w:snapToGrid w:val="0"/>
              <w:spacing w:line="360" w:lineRule="auto"/>
              <w:rPr>
                <w:rFonts w:ascii="宋体" w:cs="Times New Roman"/>
                <w:highlight w:val="none"/>
              </w:rPr>
            </w:pPr>
            <w:r>
              <w:rPr>
                <w:rFonts w:hint="eastAsia" w:ascii="宋体" w:hAnsi="宋体" w:cs="宋体"/>
                <w:highlight w:val="none"/>
              </w:rPr>
              <w:t>见附页</w:t>
            </w:r>
            <w:r>
              <w:rPr>
                <w:rFonts w:ascii="宋体" w:hAnsi="宋体" w:cs="宋体"/>
                <w:highlight w:val="none"/>
              </w:rPr>
              <w:t>4</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0" w:hRule="atLeast"/>
          <w:tblHeader/>
          <w:jc w:val="center"/>
        </w:trPr>
        <w:tc>
          <w:tcPr>
            <w:tcW w:w="1844" w:type="dxa"/>
            <w:vAlign w:val="center"/>
          </w:tcPr>
          <w:p>
            <w:pPr>
              <w:adjustRightInd w:val="0"/>
              <w:snapToGrid w:val="0"/>
              <w:spacing w:line="360" w:lineRule="auto"/>
              <w:jc w:val="center"/>
              <w:rPr>
                <w:rFonts w:ascii="宋体" w:cs="Times New Roman"/>
                <w:highlight w:val="none"/>
              </w:rPr>
            </w:pPr>
            <w:r>
              <w:rPr>
                <w:rFonts w:hint="eastAsia" w:ascii="宋体" w:hAnsi="宋体" w:cs="宋体"/>
                <w:highlight w:val="none"/>
              </w:rPr>
              <w:t>第二章第</w:t>
            </w:r>
            <w:r>
              <w:rPr>
                <w:rFonts w:ascii="宋体" w:hAnsi="宋体" w:cs="宋体"/>
                <w:highlight w:val="none"/>
              </w:rPr>
              <w:t>31.3</w:t>
            </w:r>
            <w:r>
              <w:rPr>
                <w:rFonts w:hint="eastAsia" w:ascii="宋体" w:hAnsi="宋体" w:cs="宋体"/>
                <w:highlight w:val="none"/>
              </w:rPr>
              <w:t>款</w:t>
            </w:r>
          </w:p>
        </w:tc>
        <w:tc>
          <w:tcPr>
            <w:tcW w:w="1091" w:type="dxa"/>
            <w:vAlign w:val="center"/>
          </w:tcPr>
          <w:p>
            <w:pPr>
              <w:adjustRightInd w:val="0"/>
              <w:snapToGrid w:val="0"/>
              <w:spacing w:before="156" w:beforeLines="50" w:line="360" w:lineRule="auto"/>
              <w:jc w:val="center"/>
              <w:rPr>
                <w:rFonts w:ascii="宋体" w:cs="Times New Roman"/>
                <w:highlight w:val="none"/>
              </w:rPr>
            </w:pPr>
            <w:r>
              <w:rPr>
                <w:rFonts w:hint="eastAsia" w:ascii="宋体" w:hAnsi="宋体" w:cs="宋体"/>
                <w:kern w:val="0"/>
                <w:highlight w:val="none"/>
              </w:rPr>
              <w:t>最后报价</w:t>
            </w:r>
            <w:r>
              <w:rPr>
                <w:rFonts w:hint="eastAsia" w:ascii="宋体" w:hAnsi="宋体" w:cs="宋体"/>
                <w:highlight w:val="none"/>
              </w:rPr>
              <w:t>调整</w:t>
            </w:r>
          </w:p>
        </w:tc>
        <w:tc>
          <w:tcPr>
            <w:tcW w:w="7191" w:type="dxa"/>
            <w:vAlign w:val="center"/>
          </w:tcPr>
          <w:p>
            <w:pPr>
              <w:adjustRightInd w:val="0"/>
              <w:snapToGrid w:val="0"/>
              <w:spacing w:before="156" w:beforeLines="50" w:line="360" w:lineRule="auto"/>
              <w:rPr>
                <w:rFonts w:ascii="宋体" w:cs="Times New Roman"/>
                <w:highlight w:val="none"/>
              </w:rPr>
            </w:pPr>
            <w:r>
              <w:rPr>
                <w:rFonts w:hint="eastAsia" w:ascii="宋体" w:hAnsi="宋体" w:cs="宋体"/>
                <w:kern w:val="0"/>
                <w:highlight w:val="none"/>
              </w:rPr>
              <w:t>政府采购支持中小企业发展</w:t>
            </w:r>
            <w:r>
              <w:rPr>
                <w:rFonts w:hint="eastAsia" w:ascii="宋体" w:hAnsi="宋体" w:cs="宋体"/>
                <w:highlight w:val="none"/>
              </w:rPr>
              <w:t>（货物类供应商和产品制造商应同时满足中小微企业的条件）</w:t>
            </w:r>
            <w:r>
              <w:rPr>
                <w:rFonts w:hint="eastAsia" w:ascii="宋体" w:hAnsi="宋体" w:cs="宋体"/>
                <w:kern w:val="0"/>
                <w:highlight w:val="none"/>
              </w:rPr>
              <w:t>：</w:t>
            </w:r>
            <w:r>
              <w:rPr>
                <w:rFonts w:hint="eastAsia" w:ascii="宋体" w:hAnsi="宋体" w:cs="宋体"/>
                <w:highlight w:val="none"/>
              </w:rPr>
              <w:t>小型或微型企业，</w:t>
            </w:r>
            <w:r>
              <w:rPr>
                <w:rFonts w:hint="eastAsia" w:ascii="宋体" w:hAnsi="宋体" w:cs="宋体"/>
                <w:kern w:val="0"/>
                <w:highlight w:val="none"/>
              </w:rPr>
              <w:t>最后报价</w:t>
            </w:r>
            <w:r>
              <w:rPr>
                <w:rFonts w:hint="eastAsia" w:ascii="宋体" w:hAnsi="宋体" w:cs="宋体"/>
                <w:highlight w:val="none"/>
              </w:rPr>
              <w:t>扣除比例为</w:t>
            </w:r>
            <w:r>
              <w:rPr>
                <w:rFonts w:hint="eastAsia" w:ascii="宋体" w:hAnsi="宋体" w:cs="宋体"/>
                <w:highlight w:val="none"/>
                <w:u w:val="single"/>
              </w:rPr>
              <w:t>/</w:t>
            </w:r>
            <w:r>
              <w:rPr>
                <w:rFonts w:hint="eastAsia" w:ascii="宋体" w:hAnsi="宋体" w:cs="宋体"/>
                <w:highlight w:val="none"/>
              </w:rPr>
              <w:t>％；中型企业，</w:t>
            </w:r>
            <w:r>
              <w:rPr>
                <w:rFonts w:hint="eastAsia" w:ascii="宋体" w:hAnsi="宋体" w:cs="宋体"/>
                <w:kern w:val="0"/>
                <w:highlight w:val="none"/>
              </w:rPr>
              <w:t>最后报价</w:t>
            </w:r>
            <w:r>
              <w:rPr>
                <w:rFonts w:hint="eastAsia" w:ascii="宋体" w:hAnsi="宋体" w:cs="宋体"/>
                <w:highlight w:val="none"/>
              </w:rPr>
              <w:t>扣除比例为</w:t>
            </w:r>
            <w:r>
              <w:rPr>
                <w:rFonts w:ascii="宋体" w:hAnsi="宋体" w:cs="宋体"/>
                <w:highlight w:val="none"/>
                <w:u w:val="single"/>
              </w:rPr>
              <w:t xml:space="preserve"> </w:t>
            </w:r>
            <w:r>
              <w:rPr>
                <w:rFonts w:hint="eastAsia" w:ascii="宋体" w:hAnsi="宋体" w:cs="宋体"/>
                <w:highlight w:val="none"/>
                <w:u w:val="single"/>
              </w:rPr>
              <w:t>/</w:t>
            </w:r>
            <w:r>
              <w:rPr>
                <w:rFonts w:ascii="宋体" w:hAnsi="宋体" w:cs="宋体"/>
                <w:highlight w:val="none"/>
                <w:u w:val="single"/>
              </w:rPr>
              <w:t xml:space="preserve"> </w:t>
            </w:r>
            <w:r>
              <w:rPr>
                <w:rFonts w:hint="eastAsia" w:ascii="宋体" w:hAnsi="宋体" w:cs="宋体"/>
                <w:highlight w:val="none"/>
              </w:rPr>
              <w:t>％；联合体参与磋商的，最后报价扣除比例为</w:t>
            </w:r>
            <w:r>
              <w:rPr>
                <w:rFonts w:ascii="宋体" w:hAnsi="宋体" w:cs="宋体"/>
                <w:highlight w:val="none"/>
                <w:u w:val="single"/>
              </w:rPr>
              <w:t xml:space="preserve"> / </w:t>
            </w:r>
            <w:r>
              <w:rPr>
                <w:rFonts w:ascii="宋体" w:hAnsi="宋体" w:cs="宋体"/>
                <w:highlight w:val="none"/>
              </w:rPr>
              <w:t xml:space="preserve"> %</w:t>
            </w:r>
            <w:r>
              <w:rPr>
                <w:rFonts w:hint="eastAsia" w:ascii="宋体" w:hAnsi="宋体" w:cs="宋体"/>
                <w:highlight w:val="none"/>
              </w:rPr>
              <w:t>。评审时，用扣除后的最后报价计算价格分。</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32" w:hRule="atLeast"/>
          <w:tblHeader/>
          <w:jc w:val="center"/>
        </w:trPr>
        <w:tc>
          <w:tcPr>
            <w:tcW w:w="10126" w:type="dxa"/>
            <w:gridSpan w:val="3"/>
            <w:vAlign w:val="center"/>
          </w:tcPr>
          <w:p>
            <w:pPr>
              <w:adjustRightInd w:val="0"/>
              <w:snapToGrid w:val="0"/>
              <w:spacing w:line="360" w:lineRule="auto"/>
              <w:rPr>
                <w:rFonts w:ascii="宋体" w:cs="Times New Roman"/>
                <w:highlight w:val="none"/>
              </w:rPr>
            </w:pPr>
            <w:r>
              <w:rPr>
                <w:rFonts w:hint="eastAsia" w:ascii="宋体" w:hAnsi="宋体" w:cs="宋体"/>
                <w:b/>
                <w:bCs/>
                <w:highlight w:val="none"/>
              </w:rPr>
              <w:t>六、成交结果信息公布与授予合同</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0" w:hRule="atLeast"/>
          <w:tblHeader/>
          <w:jc w:val="center"/>
        </w:trPr>
        <w:tc>
          <w:tcPr>
            <w:tcW w:w="1844" w:type="dxa"/>
            <w:vAlign w:val="center"/>
          </w:tcPr>
          <w:p>
            <w:pPr>
              <w:adjustRightInd w:val="0"/>
              <w:snapToGrid w:val="0"/>
              <w:spacing w:line="360" w:lineRule="auto"/>
              <w:jc w:val="center"/>
              <w:rPr>
                <w:rFonts w:ascii="宋体" w:cs="Times New Roman"/>
                <w:highlight w:val="none"/>
              </w:rPr>
            </w:pPr>
            <w:r>
              <w:rPr>
                <w:rFonts w:hint="eastAsia" w:ascii="宋体" w:hAnsi="宋体" w:cs="宋体"/>
                <w:highlight w:val="none"/>
              </w:rPr>
              <w:t>第二章第</w:t>
            </w:r>
            <w:r>
              <w:rPr>
                <w:rFonts w:ascii="宋体" w:hAnsi="宋体" w:cs="宋体"/>
                <w:highlight w:val="none"/>
              </w:rPr>
              <w:t>37.1</w:t>
            </w:r>
            <w:r>
              <w:rPr>
                <w:rFonts w:hint="eastAsia" w:ascii="宋体" w:hAnsi="宋体" w:cs="宋体"/>
                <w:highlight w:val="none"/>
              </w:rPr>
              <w:t>款、</w:t>
            </w:r>
          </w:p>
        </w:tc>
        <w:tc>
          <w:tcPr>
            <w:tcW w:w="1091" w:type="dxa"/>
            <w:vAlign w:val="center"/>
          </w:tcPr>
          <w:p>
            <w:pPr>
              <w:adjustRightInd w:val="0"/>
              <w:snapToGrid w:val="0"/>
              <w:spacing w:line="360" w:lineRule="auto"/>
              <w:rPr>
                <w:rFonts w:ascii="宋体" w:cs="Times New Roman"/>
                <w:highlight w:val="none"/>
              </w:rPr>
            </w:pPr>
            <w:r>
              <w:rPr>
                <w:rFonts w:hint="eastAsia" w:ascii="宋体" w:hAnsi="宋体" w:cs="宋体"/>
                <w:highlight w:val="none"/>
              </w:rPr>
              <w:t>财政部门指定的媒体</w:t>
            </w:r>
          </w:p>
        </w:tc>
        <w:tc>
          <w:tcPr>
            <w:tcW w:w="7191" w:type="dxa"/>
            <w:vAlign w:val="center"/>
          </w:tcPr>
          <w:p>
            <w:pPr>
              <w:adjustRightInd w:val="0"/>
              <w:snapToGrid w:val="0"/>
              <w:spacing w:line="360" w:lineRule="auto"/>
              <w:rPr>
                <w:rFonts w:ascii="宋体" w:cs="Times New Roman"/>
                <w:highlight w:val="none"/>
              </w:rPr>
            </w:pPr>
            <w:r>
              <w:rPr>
                <w:rFonts w:hint="eastAsia" w:ascii="宋体" w:hAnsi="宋体" w:cs="宋体"/>
                <w:highlight w:val="none"/>
              </w:rPr>
              <w:t>中国政府采购网http://www.ccgp.gov.cn/</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879" w:hRule="atLeast"/>
          <w:tblHeader/>
          <w:jc w:val="center"/>
        </w:trPr>
        <w:tc>
          <w:tcPr>
            <w:tcW w:w="1844" w:type="dxa"/>
            <w:vAlign w:val="center"/>
          </w:tcPr>
          <w:p>
            <w:pPr>
              <w:adjustRightInd w:val="0"/>
              <w:snapToGrid w:val="0"/>
              <w:spacing w:line="360" w:lineRule="auto"/>
              <w:jc w:val="center"/>
              <w:rPr>
                <w:rFonts w:ascii="宋体" w:cs="Times New Roman"/>
                <w:highlight w:val="none"/>
              </w:rPr>
            </w:pPr>
            <w:r>
              <w:rPr>
                <w:rFonts w:hint="eastAsia" w:ascii="宋体" w:hAnsi="宋体" w:cs="宋体"/>
                <w:highlight w:val="none"/>
              </w:rPr>
              <w:t>第二章第</w:t>
            </w:r>
            <w:r>
              <w:rPr>
                <w:rFonts w:ascii="宋体" w:hAnsi="宋体" w:cs="宋体"/>
                <w:highlight w:val="none"/>
              </w:rPr>
              <w:t>39.3</w:t>
            </w:r>
            <w:r>
              <w:rPr>
                <w:rFonts w:hint="eastAsia" w:ascii="宋体" w:hAnsi="宋体" w:cs="宋体"/>
                <w:highlight w:val="none"/>
              </w:rPr>
              <w:t>款</w:t>
            </w:r>
          </w:p>
        </w:tc>
        <w:tc>
          <w:tcPr>
            <w:tcW w:w="1091" w:type="dxa"/>
            <w:vAlign w:val="center"/>
          </w:tcPr>
          <w:p>
            <w:pPr>
              <w:adjustRightInd w:val="0"/>
              <w:snapToGrid w:val="0"/>
              <w:spacing w:line="360" w:lineRule="auto"/>
              <w:rPr>
                <w:rFonts w:ascii="宋体" w:cs="Times New Roman"/>
                <w:highlight w:val="none"/>
              </w:rPr>
            </w:pPr>
            <w:r>
              <w:rPr>
                <w:rFonts w:hint="eastAsia" w:ascii="宋体" w:hAnsi="宋体" w:cs="宋体"/>
                <w:highlight w:val="none"/>
              </w:rPr>
              <w:t>履约担保</w:t>
            </w:r>
          </w:p>
        </w:tc>
        <w:tc>
          <w:tcPr>
            <w:tcW w:w="7191" w:type="dxa"/>
            <w:vAlign w:val="center"/>
          </w:tcPr>
          <w:p>
            <w:pPr>
              <w:adjustRightInd w:val="0"/>
              <w:snapToGrid w:val="0"/>
              <w:spacing w:line="360" w:lineRule="auto"/>
              <w:rPr>
                <w:rFonts w:ascii="宋体" w:hAnsi="宋体" w:cs="宋体"/>
                <w:highlight w:val="none"/>
              </w:rPr>
            </w:pPr>
            <w:r>
              <w:rPr>
                <w:rFonts w:hint="eastAsia" w:ascii="宋体" w:hAnsi="宋体" w:cs="宋体"/>
                <w:highlight w:val="none"/>
              </w:rPr>
              <w:t>☑不要求提供</w:t>
            </w:r>
          </w:p>
          <w:p>
            <w:pPr>
              <w:adjustRightInd w:val="0"/>
              <w:snapToGrid w:val="0"/>
              <w:spacing w:line="360" w:lineRule="auto"/>
              <w:rPr>
                <w:rFonts w:ascii="宋体" w:cs="Times New Roman"/>
                <w:highlight w:val="none"/>
              </w:rPr>
            </w:pPr>
            <w:r>
              <w:rPr>
                <w:rFonts w:hint="eastAsia" w:ascii="宋体" w:hAnsi="宋体" w:cs="宋体"/>
                <w:highlight w:val="none"/>
              </w:rPr>
              <w:t>□要求提供，履约担保的金额为：/</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0" w:hRule="atLeast"/>
          <w:tblHeader/>
          <w:jc w:val="center"/>
        </w:trPr>
        <w:tc>
          <w:tcPr>
            <w:tcW w:w="10126" w:type="dxa"/>
            <w:gridSpan w:val="3"/>
            <w:vAlign w:val="center"/>
          </w:tcPr>
          <w:p>
            <w:pPr>
              <w:adjustRightInd w:val="0"/>
              <w:snapToGrid w:val="0"/>
              <w:spacing w:line="360" w:lineRule="auto"/>
              <w:rPr>
                <w:rFonts w:ascii="宋体" w:cs="Times New Roman"/>
                <w:b/>
                <w:bCs/>
                <w:highlight w:val="none"/>
              </w:rPr>
            </w:pPr>
            <w:r>
              <w:rPr>
                <w:rFonts w:hint="eastAsia" w:ascii="宋体" w:hAnsi="宋体" w:cs="宋体"/>
                <w:b/>
                <w:bCs/>
                <w:highlight w:val="none"/>
              </w:rPr>
              <w:t>七、其他规定</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0" w:hRule="atLeast"/>
          <w:tblHeader/>
          <w:jc w:val="center"/>
        </w:trPr>
        <w:tc>
          <w:tcPr>
            <w:tcW w:w="1844" w:type="dxa"/>
            <w:vAlign w:val="center"/>
          </w:tcPr>
          <w:p>
            <w:pPr>
              <w:adjustRightInd w:val="0"/>
              <w:snapToGrid w:val="0"/>
              <w:spacing w:line="360" w:lineRule="auto"/>
              <w:jc w:val="center"/>
              <w:rPr>
                <w:rFonts w:ascii="宋体" w:cs="Times New Roman"/>
                <w:highlight w:val="none"/>
              </w:rPr>
            </w:pPr>
            <w:r>
              <w:rPr>
                <w:rFonts w:hint="eastAsia" w:ascii="宋体" w:hAnsi="宋体" w:cs="宋体"/>
                <w:highlight w:val="none"/>
              </w:rPr>
              <w:t>第二章第</w:t>
            </w:r>
            <w:r>
              <w:rPr>
                <w:rFonts w:ascii="宋体" w:hAnsi="宋体" w:cs="宋体"/>
                <w:highlight w:val="none"/>
              </w:rPr>
              <w:t>41.1</w:t>
            </w:r>
            <w:r>
              <w:rPr>
                <w:rFonts w:hint="eastAsia" w:ascii="宋体" w:hAnsi="宋体" w:cs="宋体"/>
                <w:highlight w:val="none"/>
              </w:rPr>
              <w:t>款</w:t>
            </w:r>
          </w:p>
        </w:tc>
        <w:tc>
          <w:tcPr>
            <w:tcW w:w="1091" w:type="dxa"/>
            <w:vAlign w:val="center"/>
          </w:tcPr>
          <w:p>
            <w:pPr>
              <w:adjustRightInd w:val="0"/>
              <w:snapToGrid w:val="0"/>
              <w:spacing w:line="360" w:lineRule="auto"/>
              <w:rPr>
                <w:rFonts w:ascii="宋体" w:cs="Times New Roman"/>
                <w:highlight w:val="none"/>
              </w:rPr>
            </w:pPr>
            <w:r>
              <w:rPr>
                <w:rFonts w:hint="eastAsia" w:ascii="宋体" w:hAnsi="宋体" w:cs="宋体"/>
                <w:highlight w:val="none"/>
              </w:rPr>
              <w:t>采购代理服务费</w:t>
            </w:r>
          </w:p>
        </w:tc>
        <w:tc>
          <w:tcPr>
            <w:tcW w:w="7191" w:type="dxa"/>
            <w:vAlign w:val="center"/>
          </w:tcPr>
          <w:p>
            <w:pPr>
              <w:adjustRightInd w:val="0"/>
              <w:snapToGrid w:val="0"/>
              <w:spacing w:line="360" w:lineRule="auto"/>
              <w:rPr>
                <w:rFonts w:ascii="宋体" w:cs="Times New Roman"/>
                <w:highlight w:val="none"/>
                <w:u w:val="single"/>
              </w:rPr>
            </w:pPr>
            <w:bookmarkStart w:id="3" w:name="OLE_LINK1"/>
            <w:r>
              <w:rPr>
                <w:rFonts w:hint="eastAsia" w:ascii="宋体" w:hAnsi="宋体"/>
                <w:highlight w:val="none"/>
              </w:rPr>
              <w:t>代理服务费1500.00元由采购人向代理机构支付</w:t>
            </w:r>
            <w:bookmarkEnd w:id="3"/>
            <w:r>
              <w:rPr>
                <w:rFonts w:hint="eastAsia" w:ascii="宋体" w:hAnsi="宋体"/>
                <w:highlight w:val="none"/>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355" w:hRule="atLeast"/>
          <w:tblHeader/>
          <w:jc w:val="center"/>
        </w:trPr>
        <w:tc>
          <w:tcPr>
            <w:tcW w:w="1844" w:type="dxa"/>
            <w:tcBorders>
              <w:bottom w:val="double" w:color="auto" w:sz="4" w:space="0"/>
            </w:tcBorders>
            <w:vAlign w:val="center"/>
          </w:tcPr>
          <w:p>
            <w:pPr>
              <w:adjustRightInd w:val="0"/>
              <w:snapToGrid w:val="0"/>
              <w:spacing w:line="360" w:lineRule="auto"/>
              <w:jc w:val="center"/>
              <w:rPr>
                <w:rFonts w:ascii="宋体" w:cs="Times New Roman"/>
                <w:highlight w:val="none"/>
              </w:rPr>
            </w:pPr>
            <w:r>
              <w:rPr>
                <w:rFonts w:hint="eastAsia" w:ascii="宋体" w:hAnsi="宋体" w:cs="宋体"/>
                <w:highlight w:val="none"/>
              </w:rPr>
              <w:t>第二章第</w:t>
            </w:r>
            <w:r>
              <w:rPr>
                <w:rFonts w:ascii="宋体" w:hAnsi="宋体" w:cs="宋体"/>
                <w:highlight w:val="none"/>
              </w:rPr>
              <w:t>42.1</w:t>
            </w:r>
            <w:r>
              <w:rPr>
                <w:rFonts w:hint="eastAsia" w:ascii="宋体" w:hAnsi="宋体" w:cs="宋体"/>
                <w:highlight w:val="none"/>
              </w:rPr>
              <w:t>款</w:t>
            </w:r>
          </w:p>
        </w:tc>
        <w:tc>
          <w:tcPr>
            <w:tcW w:w="1091" w:type="dxa"/>
            <w:tcBorders>
              <w:bottom w:val="double" w:color="auto" w:sz="4" w:space="0"/>
            </w:tcBorders>
            <w:vAlign w:val="center"/>
          </w:tcPr>
          <w:p>
            <w:pPr>
              <w:adjustRightInd w:val="0"/>
              <w:snapToGrid w:val="0"/>
              <w:spacing w:line="360" w:lineRule="auto"/>
              <w:rPr>
                <w:rFonts w:ascii="宋体" w:cs="Times New Roman"/>
                <w:highlight w:val="none"/>
              </w:rPr>
            </w:pPr>
            <w:r>
              <w:rPr>
                <w:rFonts w:hint="eastAsia" w:ascii="宋体" w:hAnsi="宋体" w:cs="宋体"/>
                <w:highlight w:val="none"/>
              </w:rPr>
              <w:t>其他规定</w:t>
            </w:r>
          </w:p>
        </w:tc>
        <w:tc>
          <w:tcPr>
            <w:tcW w:w="7191" w:type="dxa"/>
            <w:tcBorders>
              <w:bottom w:val="double" w:color="auto" w:sz="4" w:space="0"/>
            </w:tcBorders>
            <w:vAlign w:val="center"/>
          </w:tcPr>
          <w:p>
            <w:pPr>
              <w:adjustRightInd w:val="0"/>
              <w:snapToGrid w:val="0"/>
              <w:spacing w:before="156" w:beforeLines="50" w:line="360" w:lineRule="auto"/>
              <w:rPr>
                <w:rFonts w:ascii="宋体"/>
                <w:b/>
                <w:bCs/>
                <w:highlight w:val="none"/>
              </w:rPr>
            </w:pPr>
            <w:r>
              <w:rPr>
                <w:rFonts w:hint="eastAsia" w:ascii="宋体" w:hAnsi="宋体"/>
                <w:b/>
                <w:bCs/>
                <w:highlight w:val="none"/>
              </w:rPr>
              <w:t>对列入失信被执行人、重大税收违法案件当事人名单、政府采购严重违法失信行为记录名单的供应商，将被拒绝其参与政府采购活动。</w:t>
            </w:r>
          </w:p>
          <w:p>
            <w:pPr>
              <w:adjustRightInd w:val="0"/>
              <w:snapToGrid w:val="0"/>
              <w:spacing w:before="156" w:beforeLines="50" w:line="360" w:lineRule="auto"/>
              <w:rPr>
                <w:rFonts w:ascii="宋体"/>
                <w:highlight w:val="none"/>
              </w:rPr>
            </w:pPr>
            <w:r>
              <w:rPr>
                <w:rFonts w:ascii="宋体" w:hAnsi="宋体"/>
                <w:highlight w:val="none"/>
              </w:rPr>
              <w:t>1</w:t>
            </w:r>
            <w:r>
              <w:rPr>
                <w:rFonts w:hint="eastAsia" w:ascii="宋体" w:hAnsi="宋体"/>
                <w:highlight w:val="none"/>
              </w:rPr>
              <w:t>、信用信息的查询渠道：“信用中国”网站（</w:t>
            </w:r>
            <w:r>
              <w:rPr>
                <w:rFonts w:ascii="宋体" w:hAnsi="宋体"/>
                <w:highlight w:val="none"/>
              </w:rPr>
              <w:t>www.creditchina.gov.cn</w:t>
            </w:r>
            <w:r>
              <w:rPr>
                <w:rFonts w:hint="eastAsia" w:ascii="宋体" w:hAnsi="宋体"/>
                <w:highlight w:val="none"/>
              </w:rPr>
              <w:t>）、“中国政府采购网”网站（</w:t>
            </w:r>
            <w:r>
              <w:rPr>
                <w:rFonts w:ascii="宋体" w:hAnsi="宋体"/>
                <w:highlight w:val="none"/>
              </w:rPr>
              <w:t>www.ccgp.gov.cn</w:t>
            </w:r>
            <w:r>
              <w:rPr>
                <w:rFonts w:hint="eastAsia" w:ascii="宋体" w:hAnsi="宋体"/>
                <w:highlight w:val="none"/>
              </w:rPr>
              <w:t>）。</w:t>
            </w:r>
          </w:p>
          <w:p>
            <w:pPr>
              <w:adjustRightInd w:val="0"/>
              <w:snapToGrid w:val="0"/>
              <w:spacing w:before="156" w:beforeLines="50" w:line="360" w:lineRule="auto"/>
              <w:rPr>
                <w:rFonts w:ascii="宋体"/>
                <w:highlight w:val="none"/>
              </w:rPr>
            </w:pPr>
            <w:r>
              <w:rPr>
                <w:rFonts w:ascii="宋体" w:hAnsi="宋体"/>
                <w:highlight w:val="none"/>
              </w:rPr>
              <w:t>2</w:t>
            </w:r>
            <w:r>
              <w:rPr>
                <w:rFonts w:hint="eastAsia" w:ascii="宋体" w:hAnsi="宋体"/>
                <w:highlight w:val="none"/>
              </w:rPr>
              <w:t>、信用信息查询记录的具体方式：由采购人或采购代理机构在上述查询渠道进行查询。</w:t>
            </w:r>
          </w:p>
          <w:p>
            <w:pPr>
              <w:adjustRightInd w:val="0"/>
              <w:snapToGrid w:val="0"/>
              <w:spacing w:line="360" w:lineRule="auto"/>
              <w:rPr>
                <w:rFonts w:ascii="宋体"/>
                <w:highlight w:val="none"/>
              </w:rPr>
            </w:pPr>
            <w:r>
              <w:rPr>
                <w:rFonts w:ascii="宋体" w:hAnsi="宋体"/>
                <w:highlight w:val="none"/>
              </w:rPr>
              <w:t>3</w:t>
            </w:r>
            <w:r>
              <w:rPr>
                <w:rFonts w:hint="eastAsia" w:ascii="宋体" w:hAnsi="宋体"/>
                <w:highlight w:val="none"/>
              </w:rPr>
              <w:t>、信用信息查询记录证据留存的具体方式：查询记录的网上打印件。</w:t>
            </w:r>
          </w:p>
          <w:p>
            <w:pPr>
              <w:adjustRightInd w:val="0"/>
              <w:snapToGrid w:val="0"/>
              <w:spacing w:line="360" w:lineRule="auto"/>
              <w:rPr>
                <w:rFonts w:ascii="宋体" w:cs="Times New Roman"/>
                <w:highlight w:val="none"/>
              </w:rPr>
            </w:pPr>
            <w:r>
              <w:rPr>
                <w:rFonts w:ascii="宋体" w:hAnsi="宋体"/>
                <w:highlight w:val="none"/>
              </w:rPr>
              <w:t>4</w:t>
            </w:r>
            <w:r>
              <w:rPr>
                <w:rFonts w:hint="eastAsia" w:ascii="宋体" w:hAnsi="宋体"/>
                <w:highlight w:val="none"/>
              </w:rPr>
              <w:t>、信用记录截止时间：投标截止时间。</w:t>
            </w:r>
          </w:p>
        </w:tc>
      </w:tr>
    </w:tbl>
    <w:p>
      <w:pPr>
        <w:rPr>
          <w:rFonts w:ascii="黑体" w:eastAsia="黑体" w:cs="Times New Roman"/>
          <w:sz w:val="24"/>
          <w:szCs w:val="24"/>
          <w:highlight w:val="none"/>
        </w:rPr>
      </w:pPr>
    </w:p>
    <w:p>
      <w:pPr>
        <w:rPr>
          <w:rFonts w:ascii="宋体" w:cs="Times New Roman"/>
          <w:b/>
          <w:bCs/>
          <w:highlight w:val="none"/>
        </w:rPr>
      </w:pPr>
      <w:r>
        <w:rPr>
          <w:rFonts w:ascii="宋体" w:hAnsi="宋体" w:cs="宋体"/>
          <w:b/>
          <w:bCs/>
          <w:highlight w:val="none"/>
        </w:rPr>
        <w:br w:type="page"/>
      </w:r>
      <w:r>
        <w:rPr>
          <w:rFonts w:hint="eastAsia" w:ascii="宋体" w:hAnsi="宋体" w:cs="宋体"/>
          <w:b/>
          <w:bCs/>
          <w:highlight w:val="none"/>
        </w:rPr>
        <w:t>附页</w:t>
      </w:r>
      <w:r>
        <w:rPr>
          <w:rFonts w:ascii="宋体" w:hAnsi="宋体" w:cs="宋体"/>
          <w:b/>
          <w:bCs/>
          <w:highlight w:val="none"/>
        </w:rPr>
        <w:t>1</w:t>
      </w:r>
    </w:p>
    <w:p>
      <w:pPr>
        <w:tabs>
          <w:tab w:val="left" w:pos="420"/>
          <w:tab w:val="left" w:pos="840"/>
          <w:tab w:val="left" w:pos="1260"/>
          <w:tab w:val="left" w:pos="1680"/>
          <w:tab w:val="left" w:pos="4800"/>
        </w:tabs>
        <w:spacing w:line="400" w:lineRule="exact"/>
        <w:ind w:left="718" w:leftChars="1" w:hanging="716" w:hangingChars="297"/>
        <w:jc w:val="center"/>
        <w:rPr>
          <w:rFonts w:ascii="宋体" w:cs="Times New Roman"/>
          <w:b/>
          <w:bCs/>
          <w:sz w:val="24"/>
          <w:szCs w:val="24"/>
          <w:highlight w:val="none"/>
        </w:rPr>
      </w:pPr>
      <w:r>
        <w:rPr>
          <w:rFonts w:hint="eastAsia" w:ascii="宋体" w:hAnsi="宋体" w:cs="宋体"/>
          <w:b/>
          <w:bCs/>
          <w:sz w:val="24"/>
          <w:szCs w:val="24"/>
          <w:highlight w:val="none"/>
        </w:rPr>
        <w:t>评审因素和评分标准</w:t>
      </w:r>
    </w:p>
    <w:p>
      <w:pPr>
        <w:adjustRightInd w:val="0"/>
        <w:snapToGrid w:val="0"/>
        <w:spacing w:line="360" w:lineRule="auto"/>
        <w:rPr>
          <w:rFonts w:ascii="黑体" w:eastAsia="黑体" w:cs="Times New Roman"/>
          <w:sz w:val="24"/>
          <w:szCs w:val="24"/>
          <w:highlight w:val="none"/>
        </w:rPr>
      </w:pPr>
    </w:p>
    <w:p>
      <w:pPr>
        <w:rPr>
          <w:rFonts w:ascii="宋体" w:hAnsi="宋体"/>
          <w:b/>
          <w:color w:val="0000FF"/>
          <w:highlight w:val="none"/>
        </w:rPr>
      </w:pPr>
    </w:p>
    <w:tbl>
      <w:tblPr>
        <w:tblStyle w:val="19"/>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66"/>
        <w:gridCol w:w="1119"/>
        <w:gridCol w:w="851"/>
        <w:gridCol w:w="589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80" w:hRule="atLeast"/>
          <w:jc w:val="center"/>
        </w:trPr>
        <w:tc>
          <w:tcPr>
            <w:tcW w:w="866"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宋体" w:hAnsi="宋体" w:cs="宋体"/>
                <w:b/>
                <w:bCs/>
                <w:color w:val="000000" w:themeColor="text1"/>
                <w:highlight w:val="none"/>
                <w14:textFill>
                  <w14:solidFill>
                    <w14:schemeClr w14:val="tx1"/>
                  </w14:solidFill>
                </w14:textFill>
              </w:rPr>
            </w:pPr>
            <w:r>
              <w:rPr>
                <w:rFonts w:hint="eastAsia" w:ascii="宋体" w:hAnsi="宋体" w:cs="宋体"/>
                <w:b/>
                <w:bCs/>
                <w:color w:val="000000" w:themeColor="text1"/>
                <w:highlight w:val="none"/>
                <w14:textFill>
                  <w14:solidFill>
                    <w14:schemeClr w14:val="tx1"/>
                  </w14:solidFill>
                </w14:textFill>
              </w:rPr>
              <w:t>类别</w:t>
            </w:r>
          </w:p>
        </w:tc>
        <w:tc>
          <w:tcPr>
            <w:tcW w:w="1119"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宋体" w:hAnsi="宋体" w:cs="宋体"/>
                <w:b/>
                <w:bCs/>
                <w:color w:val="000000" w:themeColor="text1"/>
                <w:highlight w:val="none"/>
                <w14:textFill>
                  <w14:solidFill>
                    <w14:schemeClr w14:val="tx1"/>
                  </w14:solidFill>
                </w14:textFill>
              </w:rPr>
            </w:pPr>
            <w:r>
              <w:rPr>
                <w:rFonts w:hint="eastAsia" w:ascii="宋体" w:hAnsi="宋体" w:cs="宋体"/>
                <w:b/>
                <w:bCs/>
                <w:color w:val="000000" w:themeColor="text1"/>
                <w:highlight w:val="none"/>
                <w14:textFill>
                  <w14:solidFill>
                    <w14:schemeClr w14:val="tx1"/>
                  </w14:solidFill>
                </w14:textFill>
              </w:rPr>
              <w:t>计分因素</w:t>
            </w:r>
          </w:p>
        </w:tc>
        <w:tc>
          <w:tcPr>
            <w:tcW w:w="851"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宋体" w:hAnsi="宋体" w:cs="宋体"/>
                <w:b/>
                <w:bCs/>
                <w:color w:val="000000" w:themeColor="text1"/>
                <w:highlight w:val="none"/>
                <w14:textFill>
                  <w14:solidFill>
                    <w14:schemeClr w14:val="tx1"/>
                  </w14:solidFill>
                </w14:textFill>
              </w:rPr>
            </w:pPr>
            <w:r>
              <w:rPr>
                <w:rFonts w:hint="eastAsia" w:ascii="宋体" w:hAnsi="宋体" w:cs="宋体"/>
                <w:b/>
                <w:bCs/>
                <w:color w:val="000000" w:themeColor="text1"/>
                <w:highlight w:val="none"/>
                <w14:textFill>
                  <w14:solidFill>
                    <w14:schemeClr w14:val="tx1"/>
                  </w14:solidFill>
                </w14:textFill>
              </w:rPr>
              <w:t>分值</w:t>
            </w:r>
          </w:p>
        </w:tc>
        <w:tc>
          <w:tcPr>
            <w:tcW w:w="5895"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宋体" w:hAnsi="宋体" w:cs="宋体"/>
                <w:b/>
                <w:bCs/>
                <w:color w:val="000000" w:themeColor="text1"/>
                <w:highlight w:val="none"/>
                <w14:textFill>
                  <w14:solidFill>
                    <w14:schemeClr w14:val="tx1"/>
                  </w14:solidFill>
                </w14:textFill>
              </w:rPr>
            </w:pPr>
            <w:r>
              <w:rPr>
                <w:rFonts w:hint="eastAsia" w:ascii="宋体" w:hAnsi="宋体" w:cs="宋体"/>
                <w:b/>
                <w:bCs/>
                <w:color w:val="000000" w:themeColor="text1"/>
                <w:highlight w:val="none"/>
                <w14:textFill>
                  <w14:solidFill>
                    <w14:schemeClr w14:val="tx1"/>
                  </w14:solidFill>
                </w14:textFill>
              </w:rPr>
              <w:t>评分标准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011" w:hRule="atLeast"/>
          <w:jc w:val="center"/>
        </w:trPr>
        <w:tc>
          <w:tcPr>
            <w:tcW w:w="866"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价格部分（10分）</w:t>
            </w:r>
          </w:p>
        </w:tc>
        <w:tc>
          <w:tcPr>
            <w:tcW w:w="1119"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报价</w:t>
            </w:r>
          </w:p>
        </w:tc>
        <w:tc>
          <w:tcPr>
            <w:tcW w:w="851"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10分</w:t>
            </w:r>
          </w:p>
        </w:tc>
        <w:tc>
          <w:tcPr>
            <w:tcW w:w="5895" w:type="dxa"/>
            <w:tcBorders>
              <w:top w:val="single" w:color="auto" w:sz="4" w:space="0"/>
              <w:left w:val="single" w:color="auto" w:sz="4" w:space="0"/>
              <w:bottom w:val="single" w:color="auto" w:sz="4" w:space="0"/>
              <w:right w:val="single" w:color="auto" w:sz="4" w:space="0"/>
            </w:tcBorders>
            <w:vAlign w:val="center"/>
          </w:tcPr>
          <w:p>
            <w:pPr>
              <w:spacing w:line="276" w:lineRule="auto"/>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经评委会一致认定满足招标文件要求且投标价格最低的投标报价为评标基准价，其价格得分计10分。</w:t>
            </w:r>
          </w:p>
          <w:p>
            <w:pPr>
              <w:spacing w:line="276" w:lineRule="auto"/>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其他投标人的价格得分统一按公式计算：报价得分＝评标基准价÷投标报价×10分（计算价格得分取小数点后2位，第3位四舍五入）。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75" w:hRule="atLeast"/>
          <w:jc w:val="center"/>
        </w:trPr>
        <w:tc>
          <w:tcPr>
            <w:tcW w:w="866" w:type="dxa"/>
            <w:vMerge w:val="restart"/>
            <w:tcBorders>
              <w:top w:val="single" w:color="auto" w:sz="4" w:space="0"/>
              <w:left w:val="single" w:color="auto" w:sz="4" w:space="0"/>
              <w:right w:val="single" w:color="auto" w:sz="4" w:space="0"/>
            </w:tcBorders>
            <w:vAlign w:val="center"/>
          </w:tcPr>
          <w:p>
            <w:pPr>
              <w:spacing w:line="276" w:lineRule="auto"/>
              <w:jc w:val="center"/>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商务部分（4</w:t>
            </w:r>
            <w:r>
              <w:rPr>
                <w:rFonts w:hint="eastAsia" w:ascii="宋体" w:hAnsi="宋体" w:cs="宋体"/>
                <w:color w:val="000000" w:themeColor="text1"/>
                <w:highlight w:val="none"/>
                <w:lang w:val="en-US" w:eastAsia="zh-CN"/>
                <w14:textFill>
                  <w14:solidFill>
                    <w14:schemeClr w14:val="tx1"/>
                  </w14:solidFill>
                </w14:textFill>
              </w:rPr>
              <w:t>0</w:t>
            </w:r>
            <w:r>
              <w:rPr>
                <w:rFonts w:hint="eastAsia" w:ascii="宋体" w:hAnsi="宋体" w:cs="宋体"/>
                <w:color w:val="000000" w:themeColor="text1"/>
                <w:highlight w:val="none"/>
                <w14:textFill>
                  <w14:solidFill>
                    <w14:schemeClr w14:val="tx1"/>
                  </w14:solidFill>
                </w14:textFill>
              </w:rPr>
              <w:t>分）</w:t>
            </w:r>
          </w:p>
        </w:tc>
        <w:tc>
          <w:tcPr>
            <w:tcW w:w="1119" w:type="dxa"/>
            <w:vMerge w:val="restart"/>
            <w:tcBorders>
              <w:top w:val="single" w:color="auto" w:sz="4" w:space="0"/>
              <w:left w:val="single" w:color="auto" w:sz="4" w:space="0"/>
              <w:right w:val="single" w:color="auto" w:sz="4" w:space="0"/>
            </w:tcBorders>
            <w:vAlign w:val="center"/>
          </w:tcPr>
          <w:p>
            <w:pPr>
              <w:spacing w:line="276" w:lineRule="auto"/>
              <w:jc w:val="center"/>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公司实力</w:t>
            </w:r>
          </w:p>
        </w:tc>
        <w:tc>
          <w:tcPr>
            <w:tcW w:w="851"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5分</w:t>
            </w:r>
          </w:p>
        </w:tc>
        <w:tc>
          <w:tcPr>
            <w:tcW w:w="5895" w:type="dxa"/>
            <w:tcBorders>
              <w:top w:val="single" w:color="auto" w:sz="4" w:space="0"/>
              <w:left w:val="single" w:color="auto" w:sz="4" w:space="0"/>
              <w:bottom w:val="single" w:color="auto" w:sz="4" w:space="0"/>
              <w:right w:val="single" w:color="auto" w:sz="4" w:space="0"/>
            </w:tcBorders>
            <w:vAlign w:val="center"/>
          </w:tcPr>
          <w:p>
            <w:pPr>
              <w:spacing w:line="276" w:lineRule="auto"/>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供应商有</w:t>
            </w:r>
            <w:r>
              <w:rPr>
                <w:rFonts w:ascii="宋体" w:hAnsi="宋体" w:cs="宋体"/>
                <w:color w:val="000000" w:themeColor="text1"/>
                <w:highlight w:val="none"/>
                <w14:textFill>
                  <w14:solidFill>
                    <w14:schemeClr w14:val="tx1"/>
                  </w14:solidFill>
                </w14:textFill>
              </w:rPr>
              <w:t>中国工程</w:t>
            </w:r>
            <w:r>
              <w:rPr>
                <w:rFonts w:hint="eastAsia" w:ascii="宋体" w:hAnsi="宋体" w:cs="宋体"/>
                <w:color w:val="000000" w:themeColor="text1"/>
                <w:highlight w:val="none"/>
                <w14:textFill>
                  <w14:solidFill>
                    <w14:schemeClr w14:val="tx1"/>
                  </w14:solidFill>
                </w14:textFill>
              </w:rPr>
              <w:t>咨询协会颁发的咨询单位资信证书的，甲级计5分，乙级计3分，其它不计分。（需提供有效期内证书复印件加盖公章）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75" w:hRule="atLeast"/>
          <w:jc w:val="center"/>
        </w:trPr>
        <w:tc>
          <w:tcPr>
            <w:tcW w:w="866" w:type="dxa"/>
            <w:vMerge w:val="continue"/>
            <w:tcBorders>
              <w:left w:val="single" w:color="auto" w:sz="4" w:space="0"/>
              <w:right w:val="single" w:color="auto" w:sz="4" w:space="0"/>
            </w:tcBorders>
            <w:vAlign w:val="center"/>
          </w:tcPr>
          <w:p>
            <w:pPr>
              <w:spacing w:line="276" w:lineRule="auto"/>
              <w:jc w:val="center"/>
              <w:rPr>
                <w:rFonts w:ascii="宋体" w:hAnsi="宋体" w:cs="宋体"/>
                <w:color w:val="000000" w:themeColor="text1"/>
                <w:highlight w:val="none"/>
                <w14:textFill>
                  <w14:solidFill>
                    <w14:schemeClr w14:val="tx1"/>
                  </w14:solidFill>
                </w14:textFill>
              </w:rPr>
            </w:pPr>
          </w:p>
        </w:tc>
        <w:tc>
          <w:tcPr>
            <w:tcW w:w="1119" w:type="dxa"/>
            <w:vMerge w:val="continue"/>
            <w:tcBorders>
              <w:left w:val="single" w:color="auto" w:sz="4" w:space="0"/>
              <w:right w:val="single" w:color="auto" w:sz="4" w:space="0"/>
            </w:tcBorders>
            <w:vAlign w:val="center"/>
          </w:tcPr>
          <w:p>
            <w:pPr>
              <w:spacing w:line="276" w:lineRule="auto"/>
              <w:jc w:val="center"/>
              <w:rPr>
                <w:rFonts w:ascii="宋体" w:hAnsi="宋体" w:cs="宋体"/>
                <w:color w:val="000000" w:themeColor="text1"/>
                <w:highlight w:val="none"/>
                <w14:textFill>
                  <w14:solidFill>
                    <w14:schemeClr w14:val="tx1"/>
                  </w14:solidFill>
                </w14:textFill>
              </w:rPr>
            </w:pPr>
          </w:p>
        </w:tc>
        <w:tc>
          <w:tcPr>
            <w:tcW w:w="851"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5分</w:t>
            </w:r>
          </w:p>
        </w:tc>
        <w:tc>
          <w:tcPr>
            <w:tcW w:w="5895" w:type="dxa"/>
            <w:tcBorders>
              <w:top w:val="single" w:color="auto" w:sz="4" w:space="0"/>
              <w:left w:val="single" w:color="auto" w:sz="4" w:space="0"/>
              <w:bottom w:val="single" w:color="auto" w:sz="4" w:space="0"/>
              <w:right w:val="single" w:color="auto" w:sz="4" w:space="0"/>
            </w:tcBorders>
            <w:vAlign w:val="center"/>
          </w:tcPr>
          <w:p>
            <w:pPr>
              <w:spacing w:line="276" w:lineRule="auto"/>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供应商有中国通信企业协会网络安全服务能力评定证书的，一级计5分，二级计3分。（提供有效期内证书复印件并加盖单位公章，否则不计分）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75" w:hRule="atLeast"/>
          <w:jc w:val="center"/>
        </w:trPr>
        <w:tc>
          <w:tcPr>
            <w:tcW w:w="866" w:type="dxa"/>
            <w:vMerge w:val="continue"/>
            <w:tcBorders>
              <w:left w:val="single" w:color="auto" w:sz="4" w:space="0"/>
              <w:right w:val="single" w:color="auto" w:sz="4" w:space="0"/>
            </w:tcBorders>
            <w:vAlign w:val="center"/>
          </w:tcPr>
          <w:p>
            <w:pPr>
              <w:spacing w:line="276" w:lineRule="auto"/>
              <w:jc w:val="center"/>
              <w:rPr>
                <w:rFonts w:ascii="宋体" w:hAnsi="宋体" w:cs="宋体"/>
                <w:color w:val="000000" w:themeColor="text1"/>
                <w:highlight w:val="none"/>
                <w14:textFill>
                  <w14:solidFill>
                    <w14:schemeClr w14:val="tx1"/>
                  </w14:solidFill>
                </w14:textFill>
              </w:rPr>
            </w:pPr>
          </w:p>
        </w:tc>
        <w:tc>
          <w:tcPr>
            <w:tcW w:w="1119" w:type="dxa"/>
            <w:vMerge w:val="continue"/>
            <w:tcBorders>
              <w:left w:val="single" w:color="auto" w:sz="4" w:space="0"/>
              <w:right w:val="single" w:color="auto" w:sz="4" w:space="0"/>
            </w:tcBorders>
            <w:vAlign w:val="center"/>
          </w:tcPr>
          <w:p>
            <w:pPr>
              <w:spacing w:line="276" w:lineRule="auto"/>
              <w:jc w:val="center"/>
              <w:rPr>
                <w:rFonts w:ascii="宋体" w:hAnsi="宋体" w:cs="宋体"/>
                <w:color w:val="000000" w:themeColor="text1"/>
                <w:highlight w:val="none"/>
                <w14:textFill>
                  <w14:solidFill>
                    <w14:schemeClr w14:val="tx1"/>
                  </w14:solidFill>
                </w14:textFill>
              </w:rPr>
            </w:pPr>
          </w:p>
        </w:tc>
        <w:tc>
          <w:tcPr>
            <w:tcW w:w="851"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5分</w:t>
            </w:r>
          </w:p>
        </w:tc>
        <w:tc>
          <w:tcPr>
            <w:tcW w:w="5895" w:type="dxa"/>
            <w:tcBorders>
              <w:top w:val="single" w:color="auto" w:sz="4" w:space="0"/>
              <w:left w:val="single" w:color="auto" w:sz="4" w:space="0"/>
              <w:bottom w:val="single" w:color="auto" w:sz="4" w:space="0"/>
              <w:right w:val="single" w:color="auto" w:sz="4" w:space="0"/>
            </w:tcBorders>
            <w:vAlign w:val="center"/>
          </w:tcPr>
          <w:p>
            <w:pPr>
              <w:spacing w:line="276" w:lineRule="auto"/>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供应商有ISO9001质量管理体系认证，ISO14001环境管理体系认证，GB/T28001职业健康安全管理体系认证，ISO27001信息安全管理体系认证，ISO/IEC20000-1信息技术服务管理体系认证的，每1项计1分。（提供有效期内证书复印件并加盖单位公章，否则不计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75" w:hRule="atLeast"/>
          <w:jc w:val="center"/>
        </w:trPr>
        <w:tc>
          <w:tcPr>
            <w:tcW w:w="866" w:type="dxa"/>
            <w:vMerge w:val="continue"/>
            <w:tcBorders>
              <w:left w:val="single" w:color="auto" w:sz="4" w:space="0"/>
              <w:right w:val="single" w:color="auto" w:sz="4" w:space="0"/>
            </w:tcBorders>
            <w:vAlign w:val="center"/>
          </w:tcPr>
          <w:p>
            <w:pPr>
              <w:spacing w:line="276" w:lineRule="auto"/>
              <w:jc w:val="center"/>
              <w:rPr>
                <w:rFonts w:ascii="宋体" w:hAnsi="宋体" w:cs="宋体"/>
                <w:color w:val="000000" w:themeColor="text1"/>
                <w:highlight w:val="none"/>
                <w14:textFill>
                  <w14:solidFill>
                    <w14:schemeClr w14:val="tx1"/>
                  </w14:solidFill>
                </w14:textFill>
              </w:rPr>
            </w:pPr>
          </w:p>
        </w:tc>
        <w:tc>
          <w:tcPr>
            <w:tcW w:w="1119" w:type="dxa"/>
            <w:vMerge w:val="continue"/>
            <w:tcBorders>
              <w:left w:val="single" w:color="auto" w:sz="4" w:space="0"/>
              <w:right w:val="single" w:color="auto" w:sz="4" w:space="0"/>
            </w:tcBorders>
            <w:vAlign w:val="center"/>
          </w:tcPr>
          <w:p>
            <w:pPr>
              <w:spacing w:line="276" w:lineRule="auto"/>
              <w:jc w:val="center"/>
              <w:rPr>
                <w:rFonts w:ascii="宋体" w:hAnsi="宋体" w:cs="宋体"/>
                <w:color w:val="000000" w:themeColor="text1"/>
                <w:highlight w:val="none"/>
                <w14:textFill>
                  <w14:solidFill>
                    <w14:schemeClr w14:val="tx1"/>
                  </w14:solidFill>
                </w14:textFill>
              </w:rPr>
            </w:pPr>
          </w:p>
        </w:tc>
        <w:tc>
          <w:tcPr>
            <w:tcW w:w="851"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3分</w:t>
            </w:r>
          </w:p>
        </w:tc>
        <w:tc>
          <w:tcPr>
            <w:tcW w:w="5895" w:type="dxa"/>
            <w:tcBorders>
              <w:top w:val="single" w:color="auto" w:sz="4" w:space="0"/>
              <w:left w:val="single" w:color="auto" w:sz="4" w:space="0"/>
              <w:bottom w:val="single" w:color="auto" w:sz="4" w:space="0"/>
              <w:right w:val="single" w:color="auto" w:sz="4" w:space="0"/>
            </w:tcBorders>
            <w:vAlign w:val="center"/>
          </w:tcPr>
          <w:p>
            <w:pPr>
              <w:spacing w:line="276" w:lineRule="auto"/>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供应商有设计咨询领域信用企业证书的，AAA级计3分，AA级计2分，A级计1分。</w:t>
            </w:r>
          </w:p>
          <w:p>
            <w:pPr>
              <w:spacing w:line="276" w:lineRule="auto"/>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（提供有效期内证书复印件并加盖单位公章，否则不计分。）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75" w:hRule="atLeast"/>
          <w:jc w:val="center"/>
        </w:trPr>
        <w:tc>
          <w:tcPr>
            <w:tcW w:w="866" w:type="dxa"/>
            <w:vMerge w:val="continue"/>
            <w:tcBorders>
              <w:left w:val="single" w:color="auto" w:sz="4" w:space="0"/>
              <w:right w:val="single" w:color="auto" w:sz="4" w:space="0"/>
            </w:tcBorders>
            <w:vAlign w:val="center"/>
          </w:tcPr>
          <w:p>
            <w:pPr>
              <w:spacing w:line="276" w:lineRule="auto"/>
              <w:jc w:val="center"/>
              <w:rPr>
                <w:rFonts w:ascii="宋体" w:hAnsi="宋体" w:cs="宋体"/>
                <w:color w:val="000000" w:themeColor="text1"/>
                <w:highlight w:val="none"/>
                <w14:textFill>
                  <w14:solidFill>
                    <w14:schemeClr w14:val="tx1"/>
                  </w14:solidFill>
                </w14:textFill>
              </w:rPr>
            </w:pPr>
          </w:p>
        </w:tc>
        <w:tc>
          <w:tcPr>
            <w:tcW w:w="1119" w:type="dxa"/>
            <w:vMerge w:val="continue"/>
            <w:tcBorders>
              <w:left w:val="single" w:color="auto" w:sz="4" w:space="0"/>
              <w:bottom w:val="single" w:color="auto" w:sz="4" w:space="0"/>
              <w:right w:val="single" w:color="auto" w:sz="4" w:space="0"/>
            </w:tcBorders>
            <w:vAlign w:val="center"/>
          </w:tcPr>
          <w:p>
            <w:pPr>
              <w:spacing w:line="276" w:lineRule="auto"/>
              <w:jc w:val="center"/>
              <w:rPr>
                <w:rFonts w:ascii="宋体" w:hAnsi="宋体" w:cs="宋体"/>
                <w:color w:val="000000" w:themeColor="text1"/>
                <w:highlight w:val="none"/>
                <w14:textFill>
                  <w14:solidFill>
                    <w14:schemeClr w14:val="tx1"/>
                  </w14:solidFill>
                </w14:textFill>
              </w:rPr>
            </w:pPr>
          </w:p>
        </w:tc>
        <w:tc>
          <w:tcPr>
            <w:tcW w:w="851"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5分</w:t>
            </w:r>
          </w:p>
        </w:tc>
        <w:tc>
          <w:tcPr>
            <w:tcW w:w="5895" w:type="dxa"/>
            <w:tcBorders>
              <w:top w:val="single" w:color="auto" w:sz="4" w:space="0"/>
              <w:left w:val="single" w:color="auto" w:sz="4" w:space="0"/>
              <w:bottom w:val="single" w:color="auto" w:sz="4" w:space="0"/>
              <w:right w:val="single" w:color="auto" w:sz="4" w:space="0"/>
            </w:tcBorders>
            <w:vAlign w:val="center"/>
          </w:tcPr>
          <w:p>
            <w:pPr>
              <w:spacing w:line="276" w:lineRule="auto"/>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响应文件提供自2019年（含）以来</w:t>
            </w:r>
            <w:r>
              <w:rPr>
                <w:rFonts w:hint="eastAsia" w:ascii="宋体" w:hAnsi="宋体" w:cs="宋体"/>
                <w:color w:val="000000" w:themeColor="text1"/>
                <w:highlight w:val="none"/>
                <w:lang w:eastAsia="zh-CN"/>
                <w14:textFill>
                  <w14:solidFill>
                    <w14:schemeClr w14:val="tx1"/>
                  </w14:solidFill>
                </w14:textFill>
              </w:rPr>
              <w:t>类似项目</w:t>
            </w:r>
            <w:r>
              <w:rPr>
                <w:rFonts w:hint="eastAsia" w:ascii="宋体" w:hAnsi="宋体" w:cs="宋体"/>
                <w:color w:val="000000" w:themeColor="text1"/>
                <w:highlight w:val="none"/>
                <w14:textFill>
                  <w14:solidFill>
                    <w14:schemeClr w14:val="tx1"/>
                  </w14:solidFill>
                </w14:textFill>
              </w:rPr>
              <w:t>国家级优秀工程设计奖项的每个计2分；省部级优秀工程设计奖的每个计1分；市级优秀工程设计奖的每个计0.5分。</w:t>
            </w:r>
          </w:p>
          <w:p>
            <w:pPr>
              <w:spacing w:line="276" w:lineRule="auto"/>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（提供证书复印件加盖公章，网上公示的需提供截图和查询网址加盖公章。）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75" w:hRule="atLeast"/>
          <w:jc w:val="center"/>
        </w:trPr>
        <w:tc>
          <w:tcPr>
            <w:tcW w:w="866" w:type="dxa"/>
            <w:vMerge w:val="continue"/>
            <w:tcBorders>
              <w:left w:val="single" w:color="auto" w:sz="4" w:space="0"/>
              <w:right w:val="single" w:color="auto" w:sz="4" w:space="0"/>
            </w:tcBorders>
            <w:vAlign w:val="center"/>
          </w:tcPr>
          <w:p>
            <w:pPr>
              <w:spacing w:line="276" w:lineRule="auto"/>
              <w:jc w:val="center"/>
              <w:rPr>
                <w:rFonts w:ascii="宋体" w:hAnsi="宋体" w:cs="宋体"/>
                <w:color w:val="000000" w:themeColor="text1"/>
                <w:highlight w:val="none"/>
                <w14:textFill>
                  <w14:solidFill>
                    <w14:schemeClr w14:val="tx1"/>
                  </w14:solidFill>
                </w14:textFill>
              </w:rPr>
            </w:pPr>
          </w:p>
        </w:tc>
        <w:tc>
          <w:tcPr>
            <w:tcW w:w="1119"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类似业绩</w:t>
            </w:r>
          </w:p>
        </w:tc>
        <w:tc>
          <w:tcPr>
            <w:tcW w:w="851"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12分</w:t>
            </w:r>
          </w:p>
        </w:tc>
        <w:tc>
          <w:tcPr>
            <w:tcW w:w="5895" w:type="dxa"/>
            <w:tcBorders>
              <w:top w:val="single" w:color="auto" w:sz="4" w:space="0"/>
              <w:left w:val="single" w:color="auto" w:sz="4" w:space="0"/>
              <w:bottom w:val="single" w:color="auto" w:sz="4" w:space="0"/>
              <w:right w:val="single" w:color="auto" w:sz="4" w:space="0"/>
            </w:tcBorders>
            <w:vAlign w:val="center"/>
          </w:tcPr>
          <w:p>
            <w:pPr>
              <w:spacing w:line="276" w:lineRule="auto"/>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供应商提供2019年以来信息化建设项目咨询、设计合同业绩的：每提供1个计3分，最多计1</w:t>
            </w:r>
            <w:r>
              <w:rPr>
                <w:rFonts w:ascii="宋体" w:hAnsi="宋体" w:cs="宋体"/>
                <w:color w:val="000000" w:themeColor="text1"/>
                <w:highlight w:val="none"/>
                <w14:textFill>
                  <w14:solidFill>
                    <w14:schemeClr w14:val="tx1"/>
                  </w14:solidFill>
                </w14:textFill>
              </w:rPr>
              <w:t>2</w:t>
            </w:r>
            <w:r>
              <w:rPr>
                <w:rFonts w:hint="eastAsia" w:ascii="宋体" w:hAnsi="宋体" w:cs="宋体"/>
                <w:color w:val="000000" w:themeColor="text1"/>
                <w:highlight w:val="none"/>
                <w14:textFill>
                  <w14:solidFill>
                    <w14:schemeClr w14:val="tx1"/>
                  </w14:solidFill>
                </w14:textFill>
              </w:rPr>
              <w:t>分。</w:t>
            </w:r>
          </w:p>
          <w:p>
            <w:pPr>
              <w:spacing w:line="276" w:lineRule="auto"/>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（需提供中标通知书或合同关键页复印件作为证明材料，加盖投标人公章。）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75" w:hRule="atLeast"/>
          <w:jc w:val="center"/>
        </w:trPr>
        <w:tc>
          <w:tcPr>
            <w:tcW w:w="866" w:type="dxa"/>
            <w:vMerge w:val="continue"/>
            <w:tcBorders>
              <w:left w:val="single" w:color="auto" w:sz="4" w:space="0"/>
              <w:bottom w:val="single" w:color="auto" w:sz="4" w:space="0"/>
              <w:right w:val="single" w:color="auto" w:sz="4" w:space="0"/>
            </w:tcBorders>
            <w:vAlign w:val="center"/>
          </w:tcPr>
          <w:p>
            <w:pPr>
              <w:spacing w:line="276" w:lineRule="auto"/>
              <w:jc w:val="center"/>
              <w:rPr>
                <w:rFonts w:ascii="宋体" w:hAnsi="宋体" w:cs="宋体"/>
                <w:color w:val="000000" w:themeColor="text1"/>
                <w:highlight w:val="none"/>
                <w14:textFill>
                  <w14:solidFill>
                    <w14:schemeClr w14:val="tx1"/>
                  </w14:solidFill>
                </w14:textFill>
              </w:rPr>
            </w:pPr>
          </w:p>
        </w:tc>
        <w:tc>
          <w:tcPr>
            <w:tcW w:w="1119"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hint="eastAsia"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文件编制</w:t>
            </w:r>
          </w:p>
        </w:tc>
        <w:tc>
          <w:tcPr>
            <w:tcW w:w="851"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hint="eastAsia"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5分</w:t>
            </w:r>
          </w:p>
        </w:tc>
        <w:tc>
          <w:tcPr>
            <w:tcW w:w="5895" w:type="dxa"/>
            <w:tcBorders>
              <w:top w:val="single" w:color="auto" w:sz="4" w:space="0"/>
              <w:left w:val="single" w:color="auto" w:sz="4" w:space="0"/>
              <w:bottom w:val="single" w:color="auto" w:sz="4" w:space="0"/>
              <w:right w:val="single" w:color="auto" w:sz="4" w:space="0"/>
            </w:tcBorders>
            <w:vAlign w:val="center"/>
          </w:tcPr>
          <w:p>
            <w:pPr>
              <w:spacing w:line="276" w:lineRule="auto"/>
              <w:rPr>
                <w:rFonts w:hint="eastAsia"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响应文件按采购文件规定的格式、顺序编制，有目录、编页码、装订成册、有评分索引、书面整洁无涂改、没有缺漏页、价格数量等计算准确的，计5分。不符合要求的，每处扣1分，扣完为止。</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75" w:hRule="atLeast"/>
          <w:jc w:val="center"/>
        </w:trPr>
        <w:tc>
          <w:tcPr>
            <w:tcW w:w="866" w:type="dxa"/>
            <w:vMerge w:val="restart"/>
            <w:tcBorders>
              <w:left w:val="single" w:color="auto" w:sz="4" w:space="0"/>
              <w:right w:val="single" w:color="auto" w:sz="4" w:space="0"/>
            </w:tcBorders>
            <w:vAlign w:val="center"/>
          </w:tcPr>
          <w:p>
            <w:pPr>
              <w:spacing w:line="276" w:lineRule="auto"/>
              <w:jc w:val="center"/>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技术部分（</w:t>
            </w:r>
            <w:r>
              <w:rPr>
                <w:rFonts w:hint="eastAsia" w:ascii="宋体" w:hAnsi="宋体" w:cs="宋体"/>
                <w:color w:val="000000" w:themeColor="text1"/>
                <w:highlight w:val="none"/>
                <w:lang w:val="en-US" w:eastAsia="zh-CN"/>
                <w14:textFill>
                  <w14:solidFill>
                    <w14:schemeClr w14:val="tx1"/>
                  </w14:solidFill>
                </w14:textFill>
              </w:rPr>
              <w:t>50</w:t>
            </w:r>
            <w:r>
              <w:rPr>
                <w:rFonts w:hint="eastAsia" w:ascii="宋体" w:hAnsi="宋体" w:cs="宋体"/>
                <w:color w:val="000000" w:themeColor="text1"/>
                <w:highlight w:val="none"/>
                <w14:textFill>
                  <w14:solidFill>
                    <w14:schemeClr w14:val="tx1"/>
                  </w14:solidFill>
                </w14:textFill>
              </w:rPr>
              <w:t>分）</w:t>
            </w:r>
          </w:p>
        </w:tc>
        <w:tc>
          <w:tcPr>
            <w:tcW w:w="1119"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技术实力</w:t>
            </w:r>
          </w:p>
        </w:tc>
        <w:tc>
          <w:tcPr>
            <w:tcW w:w="851"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10分</w:t>
            </w:r>
          </w:p>
        </w:tc>
        <w:tc>
          <w:tcPr>
            <w:tcW w:w="5895" w:type="dxa"/>
            <w:tcBorders>
              <w:top w:val="single" w:color="auto" w:sz="4" w:space="0"/>
              <w:left w:val="single" w:color="auto" w:sz="4" w:space="0"/>
              <w:bottom w:val="single" w:color="auto" w:sz="4" w:space="0"/>
              <w:right w:val="single" w:color="auto" w:sz="4" w:space="0"/>
            </w:tcBorders>
            <w:vAlign w:val="center"/>
          </w:tcPr>
          <w:p>
            <w:pPr>
              <w:spacing w:line="276" w:lineRule="auto"/>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项目团队成员具有信息系统集成及服务高级项目经理证书、咨询工程师</w:t>
            </w:r>
            <w:r>
              <w:rPr>
                <w:rFonts w:hint="default" w:ascii="宋体" w:hAnsi="宋体" w:cs="宋体"/>
                <w:color w:val="000000" w:themeColor="text1"/>
                <w:highlight w:val="none"/>
                <w:lang w:val="en"/>
                <w14:textFill>
                  <w14:solidFill>
                    <w14:schemeClr w14:val="tx1"/>
                  </w14:solidFill>
                </w14:textFill>
              </w:rPr>
              <w:t>(</w:t>
            </w:r>
            <w:r>
              <w:rPr>
                <w:rFonts w:hint="eastAsia" w:ascii="宋体" w:hAnsi="宋体" w:cs="宋体"/>
                <w:color w:val="000000" w:themeColor="text1"/>
                <w:highlight w:val="none"/>
                <w:lang w:val="en" w:eastAsia="zh-CN"/>
                <w14:textFill>
                  <w14:solidFill>
                    <w14:schemeClr w14:val="tx1"/>
                  </w14:solidFill>
                </w14:textFill>
              </w:rPr>
              <w:t>投资）</w:t>
            </w:r>
            <w:r>
              <w:rPr>
                <w:rFonts w:hint="eastAsia" w:ascii="宋体" w:hAnsi="宋体" w:cs="宋体"/>
                <w:color w:val="000000" w:themeColor="text1"/>
                <w:highlight w:val="none"/>
                <w14:textFill>
                  <w14:solidFill>
                    <w14:schemeClr w14:val="tx1"/>
                  </w14:solidFill>
                </w14:textFill>
              </w:rPr>
              <w:t>证书、注册造价工程师证书、软件工程师证书的，每提供一个计2分。（提供证书复印件及近6个月在本单位的社保复印件，并加盖公章）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75" w:hRule="atLeast"/>
          <w:jc w:val="center"/>
        </w:trPr>
        <w:tc>
          <w:tcPr>
            <w:tcW w:w="866" w:type="dxa"/>
            <w:vMerge w:val="continue"/>
            <w:tcBorders>
              <w:left w:val="single" w:color="auto" w:sz="4" w:space="0"/>
              <w:right w:val="single" w:color="auto" w:sz="4" w:space="0"/>
            </w:tcBorders>
            <w:vAlign w:val="center"/>
          </w:tcPr>
          <w:p>
            <w:pPr>
              <w:spacing w:line="276" w:lineRule="auto"/>
              <w:jc w:val="center"/>
              <w:rPr>
                <w:rFonts w:ascii="宋体" w:hAnsi="宋体" w:cs="宋体"/>
                <w:color w:val="000000" w:themeColor="text1"/>
                <w:highlight w:val="none"/>
                <w14:textFill>
                  <w14:solidFill>
                    <w14:schemeClr w14:val="tx1"/>
                  </w14:solidFill>
                </w14:textFill>
              </w:rPr>
            </w:pPr>
          </w:p>
        </w:tc>
        <w:tc>
          <w:tcPr>
            <w:tcW w:w="1119" w:type="dxa"/>
            <w:vMerge w:val="restart"/>
            <w:tcBorders>
              <w:top w:val="single" w:color="auto" w:sz="4" w:space="0"/>
              <w:left w:val="single" w:color="auto" w:sz="4" w:space="0"/>
              <w:right w:val="single" w:color="auto" w:sz="4" w:space="0"/>
            </w:tcBorders>
            <w:vAlign w:val="center"/>
          </w:tcPr>
          <w:p>
            <w:pPr>
              <w:spacing w:line="276" w:lineRule="auto"/>
              <w:jc w:val="center"/>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设计思路</w:t>
            </w:r>
          </w:p>
        </w:tc>
        <w:tc>
          <w:tcPr>
            <w:tcW w:w="851"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lang w:val="en-US" w:eastAsia="zh-CN"/>
                <w14:textFill>
                  <w14:solidFill>
                    <w14:schemeClr w14:val="tx1"/>
                  </w14:solidFill>
                </w14:textFill>
              </w:rPr>
              <w:t>20</w:t>
            </w:r>
            <w:r>
              <w:rPr>
                <w:rFonts w:hint="eastAsia" w:ascii="宋体" w:hAnsi="宋体" w:cs="宋体"/>
                <w:color w:val="000000" w:themeColor="text1"/>
                <w:highlight w:val="none"/>
                <w14:textFill>
                  <w14:solidFill>
                    <w14:schemeClr w14:val="tx1"/>
                  </w14:solidFill>
                </w14:textFill>
              </w:rPr>
              <w:t>分</w:t>
            </w:r>
          </w:p>
        </w:tc>
        <w:tc>
          <w:tcPr>
            <w:tcW w:w="5895" w:type="dxa"/>
            <w:tcBorders>
              <w:top w:val="single" w:color="auto" w:sz="4" w:space="0"/>
              <w:left w:val="single" w:color="auto" w:sz="4" w:space="0"/>
              <w:bottom w:val="single" w:color="auto" w:sz="4" w:space="0"/>
              <w:right w:val="single" w:color="auto" w:sz="4" w:space="0"/>
            </w:tcBorders>
            <w:vAlign w:val="center"/>
          </w:tcPr>
          <w:p>
            <w:pPr>
              <w:spacing w:line="276" w:lineRule="auto"/>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根据响应文件提供的技术方案中对本次项目建设目标与内容的理解、整体规划思路、技术框架搭建情况等分档次计分：对项目的建设目标与内容理解准确透彻、整体规划思路及技术框架搭建清晰完整科学的计</w:t>
            </w:r>
            <w:r>
              <w:rPr>
                <w:rFonts w:hint="eastAsia" w:ascii="宋体" w:hAnsi="宋体" w:cs="宋体"/>
                <w:color w:val="000000" w:themeColor="text1"/>
                <w:highlight w:val="none"/>
                <w:lang w:val="en-US" w:eastAsia="zh-CN"/>
                <w14:textFill>
                  <w14:solidFill>
                    <w14:schemeClr w14:val="tx1"/>
                  </w14:solidFill>
                </w14:textFill>
              </w:rPr>
              <w:t>20</w:t>
            </w:r>
            <w:r>
              <w:rPr>
                <w:rFonts w:hint="eastAsia" w:ascii="宋体" w:hAnsi="宋体" w:cs="宋体"/>
                <w:color w:val="000000" w:themeColor="text1"/>
                <w:highlight w:val="none"/>
                <w14:textFill>
                  <w14:solidFill>
                    <w14:schemeClr w14:val="tx1"/>
                  </w14:solidFill>
                </w14:textFill>
              </w:rPr>
              <w:t>分；基本能理解项目的建设目标与内容，整体规划思路及技术框架搭建基本清晰完整的计</w:t>
            </w:r>
            <w:r>
              <w:rPr>
                <w:rFonts w:ascii="宋体" w:hAnsi="宋体" w:cs="宋体"/>
                <w:color w:val="000000" w:themeColor="text1"/>
                <w:highlight w:val="none"/>
                <w14:textFill>
                  <w14:solidFill>
                    <w14:schemeClr w14:val="tx1"/>
                  </w14:solidFill>
                </w14:textFill>
              </w:rPr>
              <w:t>10</w:t>
            </w:r>
            <w:r>
              <w:rPr>
                <w:rFonts w:hint="eastAsia" w:ascii="宋体" w:hAnsi="宋体" w:cs="宋体"/>
                <w:color w:val="000000" w:themeColor="text1"/>
                <w:highlight w:val="none"/>
                <w14:textFill>
                  <w14:solidFill>
                    <w14:schemeClr w14:val="tx1"/>
                  </w14:solidFill>
                </w14:textFill>
              </w:rPr>
              <w:t>分；对项目的建设目标与内容理解不够准确，整体规划思路及技术框架搭建不够清晰完整的计</w:t>
            </w:r>
            <w:r>
              <w:rPr>
                <w:rFonts w:ascii="宋体" w:hAnsi="宋体" w:cs="宋体"/>
                <w:color w:val="000000" w:themeColor="text1"/>
                <w:highlight w:val="none"/>
                <w14:textFill>
                  <w14:solidFill>
                    <w14:schemeClr w14:val="tx1"/>
                  </w14:solidFill>
                </w14:textFill>
              </w:rPr>
              <w:t>5</w:t>
            </w:r>
            <w:r>
              <w:rPr>
                <w:rFonts w:hint="eastAsia" w:ascii="宋体" w:hAnsi="宋体" w:cs="宋体"/>
                <w:color w:val="000000" w:themeColor="text1"/>
                <w:highlight w:val="none"/>
                <w14:textFill>
                  <w14:solidFill>
                    <w14:schemeClr w14:val="tx1"/>
                  </w14:solidFill>
                </w14:textFill>
              </w:rPr>
              <w:t>分。未提供的不计分。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75" w:hRule="atLeast"/>
          <w:jc w:val="center"/>
        </w:trPr>
        <w:tc>
          <w:tcPr>
            <w:tcW w:w="866" w:type="dxa"/>
            <w:vMerge w:val="continue"/>
            <w:tcBorders>
              <w:left w:val="single" w:color="auto" w:sz="4" w:space="0"/>
              <w:right w:val="single" w:color="auto" w:sz="4" w:space="0"/>
            </w:tcBorders>
            <w:vAlign w:val="center"/>
          </w:tcPr>
          <w:p>
            <w:pPr>
              <w:spacing w:line="276" w:lineRule="auto"/>
              <w:jc w:val="center"/>
              <w:rPr>
                <w:rFonts w:ascii="宋体" w:hAnsi="宋体" w:cs="宋体"/>
                <w:color w:val="000000" w:themeColor="text1"/>
                <w:highlight w:val="none"/>
                <w14:textFill>
                  <w14:solidFill>
                    <w14:schemeClr w14:val="tx1"/>
                  </w14:solidFill>
                </w14:textFill>
              </w:rPr>
            </w:pPr>
          </w:p>
        </w:tc>
        <w:tc>
          <w:tcPr>
            <w:tcW w:w="1119" w:type="dxa"/>
            <w:vMerge w:val="continue"/>
            <w:tcBorders>
              <w:left w:val="single" w:color="auto" w:sz="4" w:space="0"/>
              <w:bottom w:val="single" w:color="auto" w:sz="4" w:space="0"/>
              <w:right w:val="single" w:color="auto" w:sz="4" w:space="0"/>
            </w:tcBorders>
            <w:vAlign w:val="center"/>
          </w:tcPr>
          <w:p>
            <w:pPr>
              <w:spacing w:line="276" w:lineRule="auto"/>
              <w:jc w:val="center"/>
              <w:rPr>
                <w:rFonts w:ascii="宋体" w:hAnsi="宋体" w:cs="宋体"/>
                <w:color w:val="000000" w:themeColor="text1"/>
                <w:highlight w:val="none"/>
                <w14:textFill>
                  <w14:solidFill>
                    <w14:schemeClr w14:val="tx1"/>
                  </w14:solidFill>
                </w14:textFill>
              </w:rPr>
            </w:pPr>
          </w:p>
        </w:tc>
        <w:tc>
          <w:tcPr>
            <w:tcW w:w="851"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10分</w:t>
            </w:r>
          </w:p>
        </w:tc>
        <w:tc>
          <w:tcPr>
            <w:tcW w:w="5895" w:type="dxa"/>
            <w:tcBorders>
              <w:top w:val="single" w:color="auto" w:sz="4" w:space="0"/>
              <w:left w:val="single" w:color="auto" w:sz="4" w:space="0"/>
              <w:bottom w:val="single" w:color="auto" w:sz="4" w:space="0"/>
              <w:right w:val="single" w:color="auto" w:sz="4" w:space="0"/>
            </w:tcBorders>
            <w:vAlign w:val="center"/>
          </w:tcPr>
          <w:p>
            <w:pPr>
              <w:spacing w:line="276" w:lineRule="auto"/>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 xml:space="preserve">根据响应文件提供的技术方案对本次项目建设重点、难点的认识、分析与把控精准度等分档次计分：对本项目建设重点、难点的认识全面具体、分析透彻、把控精准的计10分；对本项目建设重点、难点有基本清晰的认识，分析和把控基本准确的计6分；对本项目建设重点、难点认识不足，把控不够准确的计3分。未提供的不计分。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69" w:hRule="atLeast"/>
          <w:jc w:val="center"/>
        </w:trPr>
        <w:tc>
          <w:tcPr>
            <w:tcW w:w="866" w:type="dxa"/>
            <w:vMerge w:val="continue"/>
            <w:tcBorders>
              <w:left w:val="single" w:color="auto" w:sz="4" w:space="0"/>
              <w:bottom w:val="single" w:color="auto" w:sz="4" w:space="0"/>
              <w:right w:val="single" w:color="auto" w:sz="4" w:space="0"/>
            </w:tcBorders>
            <w:vAlign w:val="center"/>
          </w:tcPr>
          <w:p>
            <w:pPr>
              <w:spacing w:line="276" w:lineRule="auto"/>
              <w:rPr>
                <w:rFonts w:ascii="宋体" w:hAnsi="宋体" w:cs="宋体"/>
                <w:color w:val="000000" w:themeColor="text1"/>
                <w:highlight w:val="none"/>
                <w14:textFill>
                  <w14:solidFill>
                    <w14:schemeClr w14:val="tx1"/>
                  </w14:solidFill>
                </w14:textFill>
              </w:rPr>
            </w:pPr>
          </w:p>
        </w:tc>
        <w:tc>
          <w:tcPr>
            <w:tcW w:w="1119" w:type="dxa"/>
            <w:tcBorders>
              <w:top w:val="single" w:color="auto" w:sz="4" w:space="0"/>
              <w:left w:val="single" w:color="auto" w:sz="4" w:space="0"/>
              <w:bottom w:val="single" w:color="auto" w:sz="4" w:space="0"/>
              <w:right w:val="single" w:color="auto" w:sz="4" w:space="0"/>
            </w:tcBorders>
            <w:vAlign w:val="center"/>
          </w:tcPr>
          <w:p>
            <w:pPr>
              <w:spacing w:line="276" w:lineRule="auto"/>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质量、进度控制计划</w:t>
            </w:r>
          </w:p>
        </w:tc>
        <w:tc>
          <w:tcPr>
            <w:tcW w:w="851" w:type="dxa"/>
            <w:tcBorders>
              <w:top w:val="single" w:color="auto" w:sz="4" w:space="0"/>
              <w:left w:val="single" w:color="auto" w:sz="4" w:space="0"/>
              <w:bottom w:val="single" w:color="auto" w:sz="4" w:space="0"/>
              <w:right w:val="single" w:color="auto" w:sz="4" w:space="0"/>
            </w:tcBorders>
            <w:vAlign w:val="center"/>
          </w:tcPr>
          <w:p>
            <w:pPr>
              <w:spacing w:line="276" w:lineRule="auto"/>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10分</w:t>
            </w:r>
          </w:p>
        </w:tc>
        <w:tc>
          <w:tcPr>
            <w:tcW w:w="5895" w:type="dxa"/>
            <w:tcBorders>
              <w:top w:val="single" w:color="auto" w:sz="4" w:space="0"/>
              <w:left w:val="single" w:color="auto" w:sz="4" w:space="0"/>
              <w:bottom w:val="single" w:color="auto" w:sz="4" w:space="0"/>
              <w:right w:val="single" w:color="auto" w:sz="4" w:space="0"/>
            </w:tcBorders>
            <w:vAlign w:val="center"/>
          </w:tcPr>
          <w:p>
            <w:pPr>
              <w:spacing w:line="276" w:lineRule="auto"/>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根据响应文件提供的人员配备、组织分工情况，设计进度控制计划、保障措施等合理性、高效性、完备性分档次计分： 人员配备充足、组织分工科学，设计进度控制计划及保障措施等合理、高效、完备的计10分；人员配备较充足、组织分工基本科学，设计进度控制计划及保障措施等基本合理、完备的计6分；人员配备不够充足或组织分工不够科学，设计进度控制计划及保障措施等不够合理、完备的计3分。未提供的不计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63" w:hRule="atLeast"/>
          <w:jc w:val="center"/>
        </w:trPr>
        <w:tc>
          <w:tcPr>
            <w:tcW w:w="1985"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cs="宋体"/>
                <w:b/>
                <w:color w:val="000000" w:themeColor="text1"/>
                <w:highlight w:val="none"/>
                <w14:textFill>
                  <w14:solidFill>
                    <w14:schemeClr w14:val="tx1"/>
                  </w14:solidFill>
                </w14:textFill>
              </w:rPr>
            </w:pPr>
            <w:r>
              <w:rPr>
                <w:rFonts w:hint="eastAsia" w:ascii="宋体" w:hAnsi="宋体" w:cs="宋体"/>
                <w:b/>
                <w:color w:val="000000" w:themeColor="text1"/>
                <w:highlight w:val="none"/>
                <w14:textFill>
                  <w14:solidFill>
                    <w14:schemeClr w14:val="tx1"/>
                  </w14:solidFill>
                </w14:textFill>
              </w:rPr>
              <w:t>合计</w:t>
            </w:r>
          </w:p>
        </w:tc>
        <w:tc>
          <w:tcPr>
            <w:tcW w:w="851"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b/>
                <w:color w:val="000000" w:themeColor="text1"/>
                <w:highlight w:val="none"/>
                <w14:textFill>
                  <w14:solidFill>
                    <w14:schemeClr w14:val="tx1"/>
                  </w14:solidFill>
                </w14:textFill>
              </w:rPr>
            </w:pPr>
            <w:r>
              <w:rPr>
                <w:rFonts w:hint="eastAsia" w:ascii="宋体" w:hAnsi="宋体" w:cs="宋体"/>
                <w:b/>
                <w:color w:val="000000" w:themeColor="text1"/>
                <w:highlight w:val="none"/>
                <w14:textFill>
                  <w14:solidFill>
                    <w14:schemeClr w14:val="tx1"/>
                  </w14:solidFill>
                </w14:textFill>
              </w:rPr>
              <w:t>100分</w:t>
            </w:r>
          </w:p>
        </w:tc>
        <w:tc>
          <w:tcPr>
            <w:tcW w:w="5895"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b/>
                <w:color w:val="000000" w:themeColor="text1"/>
                <w:highlight w:val="none"/>
                <w14:textFill>
                  <w14:solidFill>
                    <w14:schemeClr w14:val="tx1"/>
                  </w14:solidFill>
                </w14:textFill>
              </w:rPr>
            </w:pPr>
          </w:p>
        </w:tc>
      </w:tr>
    </w:tbl>
    <w:p>
      <w:pPr>
        <w:adjustRightInd w:val="0"/>
        <w:snapToGrid w:val="0"/>
        <w:spacing w:line="360" w:lineRule="auto"/>
        <w:jc w:val="center"/>
        <w:rPr>
          <w:rFonts w:ascii="黑体" w:hAnsi="宋体" w:eastAsia="黑体"/>
          <w:sz w:val="44"/>
          <w:szCs w:val="44"/>
          <w:highlight w:val="none"/>
        </w:rPr>
      </w:pPr>
      <w:r>
        <w:rPr>
          <w:rFonts w:hint="eastAsia" w:ascii="黑体" w:eastAsia="黑体"/>
          <w:color w:val="0000FF"/>
          <w:sz w:val="44"/>
          <w:szCs w:val="44"/>
          <w:highlight w:val="none"/>
        </w:rPr>
        <w:br w:type="page"/>
      </w:r>
      <w:r>
        <w:rPr>
          <w:rFonts w:hint="eastAsia" w:ascii="黑体" w:eastAsia="黑体"/>
          <w:sz w:val="44"/>
          <w:szCs w:val="44"/>
          <w:highlight w:val="none"/>
        </w:rPr>
        <w:t>磋商须知</w:t>
      </w:r>
      <w:r>
        <w:rPr>
          <w:rFonts w:hint="eastAsia" w:ascii="黑体" w:hAnsi="宋体" w:eastAsia="黑体"/>
          <w:sz w:val="44"/>
          <w:szCs w:val="44"/>
          <w:highlight w:val="none"/>
        </w:rPr>
        <w:t>正文</w:t>
      </w:r>
    </w:p>
    <w:p>
      <w:pPr>
        <w:adjustRightInd w:val="0"/>
        <w:snapToGrid w:val="0"/>
        <w:spacing w:line="360" w:lineRule="auto"/>
        <w:rPr>
          <w:rFonts w:ascii="黑体" w:hAnsi="宋体" w:eastAsia="黑体"/>
          <w:sz w:val="24"/>
          <w:highlight w:val="none"/>
        </w:rPr>
      </w:pPr>
      <w:r>
        <w:rPr>
          <w:rFonts w:hint="eastAsia" w:ascii="黑体" w:hAnsi="宋体" w:eastAsia="黑体"/>
          <w:sz w:val="24"/>
          <w:highlight w:val="none"/>
        </w:rPr>
        <w:t>一、说明</w:t>
      </w:r>
    </w:p>
    <w:p>
      <w:pPr>
        <w:adjustRightInd w:val="0"/>
        <w:snapToGrid w:val="0"/>
        <w:spacing w:line="360" w:lineRule="auto"/>
        <w:rPr>
          <w:rFonts w:ascii="宋体"/>
          <w:b/>
          <w:bCs/>
          <w:highlight w:val="none"/>
        </w:rPr>
      </w:pPr>
      <w:r>
        <w:rPr>
          <w:rFonts w:ascii="宋体" w:hAnsi="宋体"/>
          <w:b/>
          <w:bCs/>
          <w:highlight w:val="none"/>
        </w:rPr>
        <w:t>1.</w:t>
      </w:r>
      <w:r>
        <w:rPr>
          <w:rFonts w:hint="eastAsia" w:ascii="宋体" w:hAnsi="宋体"/>
          <w:b/>
          <w:bCs/>
          <w:highlight w:val="none"/>
        </w:rPr>
        <w:t>适用范围</w:t>
      </w:r>
    </w:p>
    <w:p>
      <w:pPr>
        <w:adjustRightInd w:val="0"/>
        <w:snapToGrid w:val="0"/>
        <w:spacing w:line="360" w:lineRule="auto"/>
        <w:ind w:firstLine="420" w:firstLineChars="200"/>
        <w:rPr>
          <w:rFonts w:ascii="宋体"/>
          <w:highlight w:val="none"/>
        </w:rPr>
      </w:pPr>
      <w:r>
        <w:rPr>
          <w:rFonts w:ascii="宋体" w:hAnsi="宋体"/>
          <w:highlight w:val="none"/>
        </w:rPr>
        <w:t xml:space="preserve">1.1 </w:t>
      </w:r>
      <w:r>
        <w:rPr>
          <w:rFonts w:hint="eastAsia" w:ascii="宋体" w:hAnsi="宋体"/>
          <w:highlight w:val="none"/>
        </w:rPr>
        <w:t>本磋商文件仅适用于磋商须知前附表</w:t>
      </w:r>
      <w:r>
        <w:rPr>
          <w:rFonts w:ascii="宋体" w:hAnsi="宋体"/>
          <w:highlight w:val="none"/>
        </w:rPr>
        <w:t>(</w:t>
      </w:r>
      <w:r>
        <w:rPr>
          <w:rFonts w:hint="eastAsia" w:ascii="宋体" w:hAnsi="宋体"/>
          <w:highlight w:val="none"/>
        </w:rPr>
        <w:t>以下简称</w:t>
      </w:r>
      <w:r>
        <w:rPr>
          <w:rFonts w:hint="eastAsia" w:ascii="宋体" w:hAnsi="宋体"/>
          <w:b/>
          <w:highlight w:val="none"/>
        </w:rPr>
        <w:t>磋商须知前附表</w:t>
      </w:r>
      <w:r>
        <w:rPr>
          <w:rFonts w:ascii="宋体" w:hAnsi="宋体"/>
          <w:b/>
          <w:highlight w:val="none"/>
        </w:rPr>
        <w:t>)</w:t>
      </w:r>
      <w:r>
        <w:rPr>
          <w:rFonts w:hint="eastAsia" w:ascii="宋体" w:hAnsi="宋体"/>
          <w:highlight w:val="none"/>
        </w:rPr>
        <w:t>中所叙述的采购项目。</w:t>
      </w:r>
    </w:p>
    <w:p>
      <w:pPr>
        <w:adjustRightInd w:val="0"/>
        <w:snapToGrid w:val="0"/>
        <w:spacing w:line="360" w:lineRule="auto"/>
        <w:rPr>
          <w:rFonts w:ascii="宋体"/>
          <w:b/>
          <w:bCs/>
          <w:highlight w:val="none"/>
        </w:rPr>
      </w:pPr>
      <w:r>
        <w:rPr>
          <w:rFonts w:ascii="宋体" w:hAnsi="宋体"/>
          <w:b/>
          <w:bCs/>
          <w:highlight w:val="none"/>
        </w:rPr>
        <w:t>2.</w:t>
      </w:r>
      <w:r>
        <w:rPr>
          <w:rFonts w:hint="eastAsia" w:ascii="宋体" w:hAnsi="宋体"/>
          <w:b/>
          <w:bCs/>
          <w:highlight w:val="none"/>
        </w:rPr>
        <w:t>定义</w:t>
      </w:r>
    </w:p>
    <w:p>
      <w:pPr>
        <w:adjustRightInd w:val="0"/>
        <w:snapToGrid w:val="0"/>
        <w:spacing w:line="360" w:lineRule="auto"/>
        <w:ind w:firstLine="420" w:firstLineChars="200"/>
        <w:rPr>
          <w:rFonts w:ascii="宋体"/>
          <w:b/>
          <w:highlight w:val="none"/>
        </w:rPr>
      </w:pPr>
      <w:r>
        <w:rPr>
          <w:rFonts w:ascii="宋体" w:hAnsi="宋体"/>
          <w:highlight w:val="none"/>
        </w:rPr>
        <w:t xml:space="preserve">2.1 </w:t>
      </w:r>
      <w:r>
        <w:rPr>
          <w:rFonts w:hint="eastAsia" w:ascii="宋体" w:hAnsi="宋体"/>
          <w:highlight w:val="none"/>
        </w:rPr>
        <w:t>“采购人”是指依法进行政府采购的国家机关、事业单位、团体组织。本次政府采购的采购人名称、地址、电话、联系人见</w:t>
      </w:r>
      <w:r>
        <w:rPr>
          <w:rFonts w:hint="eastAsia" w:ascii="宋体" w:hAnsi="宋体"/>
          <w:b/>
          <w:highlight w:val="none"/>
        </w:rPr>
        <w:t>磋商须知前附表</w:t>
      </w:r>
      <w:r>
        <w:rPr>
          <w:rFonts w:hint="eastAsia" w:ascii="宋体" w:hAnsi="宋体"/>
          <w:highlight w:val="none"/>
        </w:rPr>
        <w:t>。</w:t>
      </w:r>
    </w:p>
    <w:p>
      <w:pPr>
        <w:adjustRightInd w:val="0"/>
        <w:snapToGrid w:val="0"/>
        <w:spacing w:line="360" w:lineRule="auto"/>
        <w:ind w:firstLine="420" w:firstLineChars="200"/>
        <w:rPr>
          <w:rFonts w:ascii="宋体"/>
          <w:b/>
          <w:highlight w:val="none"/>
        </w:rPr>
      </w:pPr>
      <w:r>
        <w:rPr>
          <w:rFonts w:ascii="宋体" w:hAnsi="宋体"/>
          <w:highlight w:val="none"/>
        </w:rPr>
        <w:t xml:space="preserve">2.2 </w:t>
      </w:r>
      <w:r>
        <w:rPr>
          <w:rFonts w:hint="eastAsia" w:ascii="宋体" w:hAnsi="宋体"/>
          <w:highlight w:val="none"/>
        </w:rPr>
        <w:t>“采购代理机构”是指接受采购人委托，代理采购项目的集中采购机构和其他采购代理机构。本次政府采购的采购代理机构名称、地址、电话、联系人见</w:t>
      </w:r>
      <w:r>
        <w:rPr>
          <w:rFonts w:hint="eastAsia" w:ascii="宋体" w:hAnsi="宋体"/>
          <w:b/>
          <w:highlight w:val="none"/>
        </w:rPr>
        <w:t>磋商须知前附表。</w:t>
      </w:r>
    </w:p>
    <w:p>
      <w:pPr>
        <w:adjustRightInd w:val="0"/>
        <w:snapToGrid w:val="0"/>
        <w:spacing w:line="360" w:lineRule="auto"/>
        <w:ind w:firstLine="420" w:firstLineChars="200"/>
        <w:rPr>
          <w:rFonts w:ascii="宋体" w:cs="宋体"/>
          <w:bCs/>
          <w:kern w:val="36"/>
          <w:highlight w:val="none"/>
        </w:rPr>
      </w:pPr>
      <w:r>
        <w:rPr>
          <w:rFonts w:ascii="宋体" w:hAnsi="宋体"/>
          <w:highlight w:val="none"/>
        </w:rPr>
        <w:t xml:space="preserve">2.3 </w:t>
      </w:r>
      <w:r>
        <w:rPr>
          <w:rFonts w:hint="eastAsia" w:ascii="宋体" w:hAnsi="宋体"/>
          <w:highlight w:val="none"/>
        </w:rPr>
        <w:t>“供应商”是指响应磋商文件要求、参加竞争性磋商采购的法人、其他组织或者自然人。本次政府采购项目</w:t>
      </w:r>
      <w:r>
        <w:rPr>
          <w:rFonts w:hint="eastAsia" w:ascii="宋体" w:hAnsi="宋体" w:cs="宋体"/>
          <w:kern w:val="0"/>
          <w:highlight w:val="none"/>
        </w:rPr>
        <w:t>邀请</w:t>
      </w:r>
      <w:r>
        <w:rPr>
          <w:rFonts w:hint="eastAsia" w:ascii="宋体" w:hAnsi="宋体"/>
          <w:highlight w:val="none"/>
        </w:rPr>
        <w:t>的</w:t>
      </w:r>
      <w:r>
        <w:rPr>
          <w:rFonts w:hint="eastAsia" w:ascii="宋体" w:hAnsi="宋体" w:cs="宋体"/>
          <w:kern w:val="0"/>
          <w:highlight w:val="none"/>
        </w:rPr>
        <w:t>供应商通过</w:t>
      </w:r>
      <w:r>
        <w:rPr>
          <w:rFonts w:hint="eastAsia" w:ascii="宋体" w:hAnsi="宋体"/>
          <w:b/>
          <w:highlight w:val="none"/>
        </w:rPr>
        <w:t>磋商须知前附表</w:t>
      </w:r>
      <w:r>
        <w:rPr>
          <w:rFonts w:hint="eastAsia" w:ascii="宋体" w:hAnsi="宋体"/>
          <w:highlight w:val="none"/>
        </w:rPr>
        <w:t>所述方式</w:t>
      </w:r>
      <w:r>
        <w:rPr>
          <w:rFonts w:hint="eastAsia" w:ascii="宋体" w:hAnsi="宋体" w:cs="宋体"/>
          <w:kern w:val="0"/>
          <w:highlight w:val="none"/>
        </w:rPr>
        <w:t>，邀请符合资格条件的供应商提交响应文件（含资格证明资料），参与竞争性磋商采购活动。</w:t>
      </w:r>
    </w:p>
    <w:p>
      <w:pPr>
        <w:adjustRightInd w:val="0"/>
        <w:snapToGrid w:val="0"/>
        <w:spacing w:line="360" w:lineRule="auto"/>
        <w:ind w:firstLine="420" w:firstLineChars="200"/>
        <w:rPr>
          <w:rFonts w:ascii="宋体" w:cs="宋体"/>
          <w:kern w:val="0"/>
          <w:highlight w:val="none"/>
        </w:rPr>
      </w:pPr>
      <w:r>
        <w:rPr>
          <w:rFonts w:ascii="宋体" w:hAnsi="宋体"/>
          <w:highlight w:val="none"/>
        </w:rPr>
        <w:t xml:space="preserve">2.4 </w:t>
      </w:r>
      <w:r>
        <w:rPr>
          <w:rFonts w:hint="eastAsia" w:ascii="宋体" w:hAnsi="宋体"/>
          <w:highlight w:val="none"/>
        </w:rPr>
        <w:t>“磋商小组”是指</w:t>
      </w:r>
      <w:r>
        <w:rPr>
          <w:rFonts w:hint="eastAsia" w:ascii="宋体" w:hAnsi="宋体" w:cs="宋体"/>
          <w:kern w:val="0"/>
          <w:highlight w:val="none"/>
        </w:rPr>
        <w:t>依据财政部</w:t>
      </w:r>
      <w:r>
        <w:rPr>
          <w:rFonts w:hint="eastAsia" w:ascii="宋体" w:hAnsi="宋体" w:cs="宋体"/>
          <w:bCs/>
          <w:kern w:val="36"/>
          <w:highlight w:val="none"/>
        </w:rPr>
        <w:t>《政府采购竞争性磋商采购方式管理暂行办法》有关规定组建，依法依规</w:t>
      </w:r>
      <w:r>
        <w:rPr>
          <w:rFonts w:hint="eastAsia" w:ascii="宋体" w:hAnsi="宋体" w:cs="宋体"/>
          <w:kern w:val="0"/>
          <w:highlight w:val="none"/>
        </w:rPr>
        <w:t>履行其职责和义务的机构。</w:t>
      </w:r>
    </w:p>
    <w:p>
      <w:pPr>
        <w:adjustRightInd w:val="0"/>
        <w:snapToGrid w:val="0"/>
        <w:spacing w:line="360" w:lineRule="auto"/>
        <w:ind w:firstLine="420" w:firstLineChars="200"/>
        <w:rPr>
          <w:rFonts w:ascii="宋体"/>
          <w:highlight w:val="none"/>
        </w:rPr>
      </w:pPr>
      <w:r>
        <w:rPr>
          <w:rFonts w:ascii="宋体" w:hAnsi="宋体"/>
          <w:highlight w:val="none"/>
        </w:rPr>
        <w:t xml:space="preserve">2.5 </w:t>
      </w:r>
      <w:r>
        <w:rPr>
          <w:rFonts w:hint="eastAsia" w:ascii="宋体" w:hAnsi="宋体"/>
          <w:highlight w:val="none"/>
        </w:rPr>
        <w:t>“货物”是指各种形态和种类的物品，包括原资料、燃料、设备、产品等，详见《政府采购品目分类目录》</w:t>
      </w:r>
      <w:r>
        <w:rPr>
          <w:rFonts w:ascii="宋体" w:hAnsi="宋体"/>
          <w:highlight w:val="none"/>
        </w:rPr>
        <w:t>(</w:t>
      </w:r>
      <w:r>
        <w:rPr>
          <w:rStyle w:val="22"/>
          <w:rFonts w:hint="eastAsia" w:ascii="宋体" w:hAnsi="宋体" w:cs="Calibri"/>
          <w:b w:val="0"/>
          <w:highlight w:val="none"/>
        </w:rPr>
        <w:t>财库</w:t>
      </w:r>
      <w:r>
        <w:rPr>
          <w:rStyle w:val="22"/>
          <w:rFonts w:ascii="宋体" w:hAnsi="宋体" w:cs="Calibri"/>
          <w:b w:val="0"/>
          <w:highlight w:val="none"/>
        </w:rPr>
        <w:t>[2013]189</w:t>
      </w:r>
      <w:r>
        <w:rPr>
          <w:rStyle w:val="22"/>
          <w:rFonts w:hint="eastAsia" w:ascii="宋体" w:hAnsi="宋体" w:cs="Calibri"/>
          <w:b w:val="0"/>
          <w:highlight w:val="none"/>
        </w:rPr>
        <w:t>号</w:t>
      </w:r>
      <w:r>
        <w:rPr>
          <w:rFonts w:ascii="宋体" w:hAnsi="宋体"/>
          <w:highlight w:val="none"/>
        </w:rPr>
        <w:t>)</w:t>
      </w:r>
      <w:r>
        <w:rPr>
          <w:rFonts w:hint="eastAsia" w:ascii="宋体" w:hAnsi="宋体"/>
          <w:highlight w:val="none"/>
        </w:rPr>
        <w:t>。</w:t>
      </w:r>
    </w:p>
    <w:p>
      <w:pPr>
        <w:adjustRightInd w:val="0"/>
        <w:snapToGrid w:val="0"/>
        <w:spacing w:line="360" w:lineRule="auto"/>
        <w:ind w:firstLine="420" w:firstLineChars="200"/>
        <w:rPr>
          <w:rFonts w:ascii="宋体"/>
          <w:highlight w:val="none"/>
        </w:rPr>
      </w:pPr>
      <w:r>
        <w:rPr>
          <w:rFonts w:ascii="宋体" w:hAnsi="宋体"/>
          <w:highlight w:val="none"/>
        </w:rPr>
        <w:t xml:space="preserve">2.6 </w:t>
      </w:r>
      <w:r>
        <w:rPr>
          <w:rFonts w:hint="eastAsia" w:ascii="宋体" w:hAnsi="宋体"/>
          <w:highlight w:val="none"/>
        </w:rPr>
        <w:t>“工程”是指建设工程，包括建筑物和构筑物的新建、改建、扩建、装修、拆除、修缮等，详见《政府采购品目分类目录》</w:t>
      </w:r>
      <w:r>
        <w:rPr>
          <w:rFonts w:ascii="宋体" w:hAnsi="宋体"/>
          <w:highlight w:val="none"/>
        </w:rPr>
        <w:t>(</w:t>
      </w:r>
      <w:r>
        <w:rPr>
          <w:rStyle w:val="22"/>
          <w:rFonts w:hint="eastAsia" w:ascii="宋体" w:hAnsi="宋体" w:cs="Calibri"/>
          <w:b w:val="0"/>
          <w:highlight w:val="none"/>
        </w:rPr>
        <w:t>财库</w:t>
      </w:r>
      <w:r>
        <w:rPr>
          <w:rStyle w:val="22"/>
          <w:rFonts w:ascii="宋体" w:hAnsi="宋体" w:cs="Calibri"/>
          <w:b w:val="0"/>
          <w:highlight w:val="none"/>
        </w:rPr>
        <w:t>[2013]189</w:t>
      </w:r>
      <w:r>
        <w:rPr>
          <w:rStyle w:val="22"/>
          <w:rFonts w:hint="eastAsia" w:ascii="宋体" w:hAnsi="宋体" w:cs="Calibri"/>
          <w:b w:val="0"/>
          <w:highlight w:val="none"/>
        </w:rPr>
        <w:t>号</w:t>
      </w:r>
      <w:r>
        <w:rPr>
          <w:rFonts w:ascii="宋体" w:hAnsi="宋体"/>
          <w:highlight w:val="none"/>
        </w:rPr>
        <w:t>)</w:t>
      </w:r>
      <w:r>
        <w:rPr>
          <w:rFonts w:hint="eastAsia" w:ascii="宋体" w:hAnsi="宋体"/>
          <w:highlight w:val="none"/>
        </w:rPr>
        <w:t>。</w:t>
      </w:r>
    </w:p>
    <w:p>
      <w:pPr>
        <w:adjustRightInd w:val="0"/>
        <w:snapToGrid w:val="0"/>
        <w:spacing w:line="360" w:lineRule="auto"/>
        <w:ind w:firstLine="420" w:firstLineChars="200"/>
        <w:rPr>
          <w:rFonts w:ascii="宋体"/>
          <w:highlight w:val="none"/>
        </w:rPr>
      </w:pPr>
      <w:r>
        <w:rPr>
          <w:rFonts w:ascii="宋体" w:hAnsi="宋体"/>
          <w:highlight w:val="none"/>
        </w:rPr>
        <w:t xml:space="preserve">2.7 </w:t>
      </w:r>
      <w:r>
        <w:rPr>
          <w:rFonts w:hint="eastAsia" w:ascii="宋体" w:hAnsi="宋体"/>
          <w:highlight w:val="none"/>
        </w:rPr>
        <w:t>“服务”是指除货物和工程以外的其他政府采购对象，详见《政府采购品目分类目录》</w:t>
      </w:r>
      <w:r>
        <w:rPr>
          <w:rFonts w:ascii="宋体" w:hAnsi="宋体"/>
          <w:highlight w:val="none"/>
        </w:rPr>
        <w:t>(</w:t>
      </w:r>
      <w:r>
        <w:rPr>
          <w:rStyle w:val="22"/>
          <w:rFonts w:hint="eastAsia" w:ascii="宋体" w:hAnsi="宋体" w:cs="Calibri"/>
          <w:b w:val="0"/>
          <w:highlight w:val="none"/>
        </w:rPr>
        <w:t>财库</w:t>
      </w:r>
      <w:r>
        <w:rPr>
          <w:rStyle w:val="22"/>
          <w:rFonts w:ascii="宋体" w:hAnsi="宋体" w:cs="Calibri"/>
          <w:b w:val="0"/>
          <w:highlight w:val="none"/>
        </w:rPr>
        <w:t>[2013]189</w:t>
      </w:r>
      <w:r>
        <w:rPr>
          <w:rStyle w:val="22"/>
          <w:rFonts w:hint="eastAsia" w:ascii="宋体" w:hAnsi="宋体" w:cs="Calibri"/>
          <w:b w:val="0"/>
          <w:highlight w:val="none"/>
        </w:rPr>
        <w:t>号</w:t>
      </w:r>
      <w:r>
        <w:rPr>
          <w:rFonts w:ascii="宋体" w:hAnsi="宋体"/>
          <w:highlight w:val="none"/>
        </w:rPr>
        <w:t>)</w:t>
      </w:r>
      <w:r>
        <w:rPr>
          <w:rFonts w:hint="eastAsia" w:ascii="宋体" w:hAnsi="宋体"/>
          <w:highlight w:val="none"/>
        </w:rPr>
        <w:t>。</w:t>
      </w:r>
    </w:p>
    <w:p>
      <w:pPr>
        <w:adjustRightInd w:val="0"/>
        <w:snapToGrid w:val="0"/>
        <w:spacing w:line="360" w:lineRule="auto"/>
        <w:ind w:firstLine="420" w:firstLineChars="200"/>
        <w:rPr>
          <w:rFonts w:ascii="宋体"/>
          <w:highlight w:val="none"/>
        </w:rPr>
      </w:pPr>
      <w:r>
        <w:rPr>
          <w:rFonts w:ascii="宋体" w:hAnsi="宋体" w:cs="宋体"/>
          <w:kern w:val="0"/>
          <w:highlight w:val="none"/>
        </w:rPr>
        <w:t>2.8</w:t>
      </w:r>
      <w:r>
        <w:rPr>
          <w:rFonts w:ascii="宋体" w:hAnsi="宋体"/>
          <w:highlight w:val="none"/>
        </w:rPr>
        <w:t xml:space="preserve"> </w:t>
      </w:r>
      <w:r>
        <w:rPr>
          <w:rFonts w:hint="eastAsia" w:ascii="宋体" w:hAnsi="宋体"/>
          <w:highlight w:val="none"/>
        </w:rPr>
        <w:t>“节能产品”或者“环保产品”是指财政部发布的《节能产品政府采购清单》或者《环境标志产品政府采购清单》的产品。</w:t>
      </w:r>
    </w:p>
    <w:p>
      <w:pPr>
        <w:adjustRightInd w:val="0"/>
        <w:snapToGrid w:val="0"/>
        <w:spacing w:line="360" w:lineRule="auto"/>
        <w:ind w:firstLine="420" w:firstLineChars="200"/>
        <w:rPr>
          <w:rFonts w:ascii="宋体" w:cs="宋体"/>
          <w:kern w:val="0"/>
          <w:highlight w:val="none"/>
        </w:rPr>
      </w:pPr>
      <w:r>
        <w:rPr>
          <w:rFonts w:ascii="宋体" w:hAnsi="宋体"/>
          <w:highlight w:val="none"/>
        </w:rPr>
        <w:t>2.9</w:t>
      </w:r>
      <w:r>
        <w:rPr>
          <w:rFonts w:ascii="宋体" w:hAnsi="宋体" w:cs="宋体"/>
          <w:kern w:val="0"/>
          <w:highlight w:val="none"/>
        </w:rPr>
        <w:t xml:space="preserve"> </w:t>
      </w:r>
      <w:r>
        <w:rPr>
          <w:rFonts w:hint="eastAsia" w:ascii="宋体" w:hAnsi="宋体" w:cs="宋体"/>
          <w:kern w:val="0"/>
          <w:highlight w:val="none"/>
        </w:rPr>
        <w:t>“进口产品”是指通过中国海关报关验放进入中国境内且产自关境外的产品，详见《关于政府采购进口产品管理有关问题的通知》</w:t>
      </w:r>
      <w:r>
        <w:rPr>
          <w:rFonts w:ascii="宋体" w:hAnsi="宋体" w:cs="宋体"/>
          <w:kern w:val="0"/>
          <w:highlight w:val="none"/>
        </w:rPr>
        <w:t>(</w:t>
      </w:r>
      <w:r>
        <w:rPr>
          <w:rFonts w:hint="eastAsia" w:ascii="宋体" w:hAnsi="宋体" w:cs="宋体"/>
          <w:kern w:val="0"/>
          <w:highlight w:val="none"/>
        </w:rPr>
        <w:t>财库</w:t>
      </w:r>
      <w:r>
        <w:rPr>
          <w:rFonts w:ascii="宋体" w:hAnsi="宋体" w:cs="宋体"/>
          <w:kern w:val="0"/>
          <w:highlight w:val="none"/>
        </w:rPr>
        <w:t>[2007]119</w:t>
      </w:r>
      <w:r>
        <w:rPr>
          <w:rFonts w:hint="eastAsia" w:ascii="宋体" w:hAnsi="宋体" w:cs="宋体"/>
          <w:kern w:val="0"/>
          <w:highlight w:val="none"/>
        </w:rPr>
        <w:t>号</w:t>
      </w:r>
      <w:r>
        <w:rPr>
          <w:rFonts w:ascii="宋体" w:hAnsi="宋体" w:cs="宋体"/>
          <w:kern w:val="0"/>
          <w:highlight w:val="none"/>
        </w:rPr>
        <w:t>)</w:t>
      </w:r>
      <w:r>
        <w:rPr>
          <w:rFonts w:hint="eastAsia" w:ascii="宋体" w:hAnsi="宋体" w:cs="宋体"/>
          <w:kern w:val="0"/>
          <w:highlight w:val="none"/>
        </w:rPr>
        <w:t>。</w:t>
      </w:r>
    </w:p>
    <w:p>
      <w:pPr>
        <w:adjustRightInd w:val="0"/>
        <w:snapToGrid w:val="0"/>
        <w:spacing w:line="360" w:lineRule="auto"/>
        <w:rPr>
          <w:rFonts w:ascii="宋体"/>
          <w:b/>
          <w:bCs/>
          <w:highlight w:val="none"/>
        </w:rPr>
      </w:pPr>
      <w:r>
        <w:rPr>
          <w:rFonts w:ascii="宋体" w:hAnsi="宋体"/>
          <w:b/>
          <w:bCs/>
          <w:highlight w:val="none"/>
        </w:rPr>
        <w:t>3.</w:t>
      </w:r>
      <w:r>
        <w:rPr>
          <w:rFonts w:hint="eastAsia" w:ascii="宋体" w:hAnsi="宋体"/>
          <w:b/>
          <w:bCs/>
          <w:highlight w:val="none"/>
        </w:rPr>
        <w:t>供应商的资格要求</w:t>
      </w:r>
    </w:p>
    <w:p>
      <w:pPr>
        <w:adjustRightInd w:val="0"/>
        <w:snapToGrid w:val="0"/>
        <w:spacing w:line="360" w:lineRule="auto"/>
        <w:ind w:firstLine="420" w:firstLineChars="200"/>
        <w:rPr>
          <w:rFonts w:ascii="宋体"/>
          <w:highlight w:val="none"/>
        </w:rPr>
      </w:pPr>
      <w:r>
        <w:rPr>
          <w:rFonts w:ascii="宋体" w:hAnsi="宋体"/>
          <w:highlight w:val="none"/>
        </w:rPr>
        <w:t xml:space="preserve">3.1 </w:t>
      </w:r>
      <w:r>
        <w:rPr>
          <w:rFonts w:hint="eastAsia" w:ascii="宋体" w:hAnsi="宋体"/>
          <w:highlight w:val="none"/>
        </w:rPr>
        <w:t>供应商应当符合</w:t>
      </w:r>
      <w:r>
        <w:rPr>
          <w:rFonts w:hint="eastAsia" w:ascii="宋体" w:hAnsi="宋体"/>
          <w:b/>
          <w:highlight w:val="none"/>
        </w:rPr>
        <w:t>磋商须知前附表</w:t>
      </w:r>
      <w:r>
        <w:rPr>
          <w:rFonts w:hint="eastAsia" w:ascii="宋体" w:hAnsi="宋体"/>
          <w:highlight w:val="none"/>
        </w:rPr>
        <w:t>中规定的资格条件要求。</w:t>
      </w:r>
    </w:p>
    <w:p>
      <w:pPr>
        <w:adjustRightInd w:val="0"/>
        <w:snapToGrid w:val="0"/>
        <w:spacing w:line="360" w:lineRule="auto"/>
        <w:ind w:firstLine="420" w:firstLineChars="200"/>
        <w:jc w:val="left"/>
        <w:rPr>
          <w:rFonts w:ascii="宋体"/>
          <w:highlight w:val="none"/>
        </w:rPr>
      </w:pPr>
      <w:r>
        <w:rPr>
          <w:rFonts w:ascii="宋体" w:hAnsi="宋体"/>
          <w:highlight w:val="none"/>
        </w:rPr>
        <w:t>3.2</w:t>
      </w:r>
      <w:r>
        <w:rPr>
          <w:rFonts w:hint="eastAsia" w:ascii="宋体" w:hAnsi="宋体"/>
          <w:highlight w:val="none"/>
        </w:rPr>
        <w:t>供应商</w:t>
      </w:r>
      <w:r>
        <w:rPr>
          <w:rFonts w:hint="eastAsia" w:hAnsi="宋体"/>
          <w:highlight w:val="none"/>
        </w:rPr>
        <w:t>为联合体形式的</w:t>
      </w:r>
      <w:r>
        <w:rPr>
          <w:rFonts w:hint="eastAsia" w:ascii="宋体" w:hAnsi="宋体"/>
          <w:highlight w:val="none"/>
        </w:rPr>
        <w:t>，除应满足本章第</w:t>
      </w:r>
      <w:r>
        <w:rPr>
          <w:rFonts w:ascii="宋体" w:hAnsi="宋体"/>
          <w:highlight w:val="none"/>
        </w:rPr>
        <w:t>3.1</w:t>
      </w:r>
      <w:r>
        <w:rPr>
          <w:rFonts w:hint="eastAsia" w:ascii="宋体" w:hAnsi="宋体"/>
          <w:highlight w:val="none"/>
        </w:rPr>
        <w:t>款资格条件要求及第</w:t>
      </w:r>
      <w:r>
        <w:rPr>
          <w:rFonts w:ascii="宋体" w:hAnsi="宋体"/>
          <w:highlight w:val="none"/>
        </w:rPr>
        <w:t>3.3</w:t>
      </w:r>
      <w:r>
        <w:rPr>
          <w:rFonts w:hint="eastAsia" w:ascii="宋体" w:hAnsi="宋体"/>
          <w:highlight w:val="none"/>
        </w:rPr>
        <w:t>款规定外，还应遵守以下规定：</w:t>
      </w:r>
      <w:r>
        <w:rPr>
          <w:rFonts w:ascii="宋体" w:hAnsi="宋体"/>
          <w:highlight w:val="none"/>
        </w:rPr>
        <w:t xml:space="preserve"> </w:t>
      </w:r>
    </w:p>
    <w:p>
      <w:pPr>
        <w:adjustRightInd w:val="0"/>
        <w:snapToGrid w:val="0"/>
        <w:spacing w:line="360" w:lineRule="auto"/>
        <w:ind w:firstLine="420" w:firstLineChars="200"/>
        <w:jc w:val="left"/>
        <w:rPr>
          <w:rFonts w:ascii="宋体" w:cs="宋体"/>
          <w:kern w:val="0"/>
          <w:highlight w:val="none"/>
          <w:lang w:val="zh-CN"/>
        </w:rPr>
      </w:pPr>
      <w:r>
        <w:rPr>
          <w:rFonts w:hint="eastAsia" w:ascii="宋体" w:hAnsi="宋体" w:cs="宋体"/>
          <w:kern w:val="0"/>
          <w:highlight w:val="none"/>
          <w:lang w:val="zh-CN"/>
        </w:rPr>
        <w:t>（</w:t>
      </w:r>
      <w:r>
        <w:rPr>
          <w:rFonts w:ascii="宋体" w:hAnsi="宋体" w:cs="宋体"/>
          <w:kern w:val="0"/>
          <w:highlight w:val="none"/>
          <w:lang w:val="zh-CN"/>
        </w:rPr>
        <w:t>1</w:t>
      </w:r>
      <w:r>
        <w:rPr>
          <w:rFonts w:hint="eastAsia" w:ascii="宋体" w:hAnsi="宋体" w:cs="宋体"/>
          <w:kern w:val="0"/>
          <w:highlight w:val="none"/>
          <w:lang w:val="zh-CN"/>
        </w:rPr>
        <w:t>）联合体各方应按磋商文件提供的格式签订联合体协议书，明确联合体牵头人和各方权利义务</w:t>
      </w:r>
      <w:r>
        <w:rPr>
          <w:rFonts w:ascii="宋体" w:hAnsi="宋体" w:cs="宋体"/>
          <w:kern w:val="0"/>
          <w:highlight w:val="none"/>
          <w:lang w:val="zh-CN"/>
        </w:rPr>
        <w:t>(</w:t>
      </w:r>
      <w:r>
        <w:rPr>
          <w:rFonts w:hint="eastAsia" w:ascii="宋体" w:hAnsi="宋体" w:cs="宋体"/>
          <w:kern w:val="0"/>
          <w:highlight w:val="none"/>
          <w:lang w:val="zh-CN"/>
        </w:rPr>
        <w:t>含承担工作及工作量比例</w:t>
      </w:r>
      <w:r>
        <w:rPr>
          <w:rFonts w:ascii="宋体" w:hAnsi="宋体" w:cs="宋体"/>
          <w:kern w:val="0"/>
          <w:highlight w:val="none"/>
          <w:lang w:val="zh-CN"/>
        </w:rPr>
        <w:t>)</w:t>
      </w:r>
      <w:r>
        <w:rPr>
          <w:rFonts w:hint="eastAsia" w:ascii="宋体" w:hAnsi="宋体" w:cs="宋体"/>
          <w:kern w:val="0"/>
          <w:highlight w:val="none"/>
          <w:lang w:val="zh-CN"/>
        </w:rPr>
        <w:t>；</w:t>
      </w:r>
    </w:p>
    <w:p>
      <w:pPr>
        <w:adjustRightInd w:val="0"/>
        <w:snapToGrid w:val="0"/>
        <w:spacing w:line="360" w:lineRule="auto"/>
        <w:ind w:firstLine="420" w:firstLineChars="200"/>
        <w:jc w:val="left"/>
        <w:rPr>
          <w:rFonts w:ascii="宋体" w:cs="宋体"/>
          <w:kern w:val="0"/>
          <w:highlight w:val="none"/>
          <w:lang w:val="zh-CN"/>
        </w:rPr>
      </w:pPr>
      <w:r>
        <w:rPr>
          <w:rFonts w:hint="eastAsia" w:ascii="宋体" w:hAnsi="宋体" w:cs="宋体"/>
          <w:kern w:val="0"/>
          <w:highlight w:val="none"/>
          <w:lang w:val="zh-CN"/>
        </w:rPr>
        <w:t>（</w:t>
      </w:r>
      <w:r>
        <w:rPr>
          <w:rFonts w:ascii="宋体" w:hAnsi="宋体" w:cs="宋体"/>
          <w:kern w:val="0"/>
          <w:highlight w:val="none"/>
          <w:lang w:val="zh-CN"/>
        </w:rPr>
        <w:t>2</w:t>
      </w:r>
      <w:r>
        <w:rPr>
          <w:rFonts w:hint="eastAsia" w:ascii="宋体" w:hAnsi="宋体" w:cs="宋体"/>
          <w:kern w:val="0"/>
          <w:highlight w:val="none"/>
          <w:lang w:val="zh-CN"/>
        </w:rPr>
        <w:t>）联合体中有同类资质的供应商按照联合体分工承担相同工作的，应当按照资质等级较低的供应商确定资质等级；</w:t>
      </w:r>
    </w:p>
    <w:p>
      <w:pPr>
        <w:adjustRightInd w:val="0"/>
        <w:snapToGrid w:val="0"/>
        <w:spacing w:line="360" w:lineRule="auto"/>
        <w:ind w:firstLine="420" w:firstLineChars="200"/>
        <w:jc w:val="left"/>
        <w:rPr>
          <w:rFonts w:ascii="宋体" w:cs="宋体"/>
          <w:kern w:val="0"/>
          <w:highlight w:val="none"/>
          <w:lang w:val="zh-CN"/>
        </w:rPr>
      </w:pPr>
      <w:r>
        <w:rPr>
          <w:rFonts w:hint="eastAsia" w:ascii="宋体" w:hAnsi="宋体" w:cs="宋体"/>
          <w:kern w:val="0"/>
          <w:highlight w:val="none"/>
          <w:lang w:val="zh-CN"/>
        </w:rPr>
        <w:t>（</w:t>
      </w:r>
      <w:r>
        <w:rPr>
          <w:rFonts w:ascii="宋体" w:hAnsi="宋体" w:cs="宋体"/>
          <w:kern w:val="0"/>
          <w:highlight w:val="none"/>
          <w:lang w:val="zh-CN"/>
        </w:rPr>
        <w:t>3</w:t>
      </w:r>
      <w:r>
        <w:rPr>
          <w:rFonts w:hint="eastAsia" w:ascii="宋体" w:hAnsi="宋体" w:cs="宋体"/>
          <w:kern w:val="0"/>
          <w:highlight w:val="none"/>
          <w:lang w:val="zh-CN"/>
        </w:rPr>
        <w:t>）以联合体形式参加政府采购活动的，联合体各方不得再单独参加或者与其他供应商另外组成联合体参加同一合同项下的政府采购活动。</w:t>
      </w:r>
    </w:p>
    <w:p>
      <w:pPr>
        <w:adjustRightInd w:val="0"/>
        <w:snapToGrid w:val="0"/>
        <w:spacing w:line="360" w:lineRule="auto"/>
        <w:ind w:firstLine="420" w:firstLineChars="200"/>
        <w:rPr>
          <w:rFonts w:ascii="宋体"/>
          <w:highlight w:val="none"/>
        </w:rPr>
      </w:pPr>
      <w:r>
        <w:rPr>
          <w:rFonts w:ascii="宋体" w:hAnsi="宋体"/>
          <w:highlight w:val="none"/>
        </w:rPr>
        <w:t xml:space="preserve">3.3 </w:t>
      </w:r>
      <w:r>
        <w:rPr>
          <w:rFonts w:hint="eastAsia" w:ascii="宋体" w:hAnsi="宋体"/>
          <w:highlight w:val="none"/>
        </w:rPr>
        <w:t>供应商不得存在下列情形之一：</w:t>
      </w:r>
    </w:p>
    <w:p>
      <w:pPr>
        <w:adjustRightInd w:val="0"/>
        <w:snapToGrid w:val="0"/>
        <w:spacing w:line="360" w:lineRule="auto"/>
        <w:ind w:firstLine="420" w:firstLineChars="200"/>
        <w:rPr>
          <w:rFonts w:ascii="宋体"/>
          <w:highlight w:val="none"/>
        </w:rPr>
      </w:pPr>
      <w:r>
        <w:rPr>
          <w:rFonts w:hint="eastAsia" w:ascii="宋体" w:hAnsi="宋体"/>
          <w:highlight w:val="none"/>
        </w:rPr>
        <w:t>（</w:t>
      </w:r>
      <w:r>
        <w:rPr>
          <w:rFonts w:ascii="宋体" w:hAnsi="宋体"/>
          <w:highlight w:val="none"/>
        </w:rPr>
        <w:t>l</w:t>
      </w:r>
      <w:r>
        <w:rPr>
          <w:rFonts w:hint="eastAsia" w:ascii="宋体" w:hAnsi="宋体"/>
          <w:highlight w:val="none"/>
        </w:rPr>
        <w:t>）与采购人、采购代理机构存在</w:t>
      </w:r>
      <w:r>
        <w:rPr>
          <w:rFonts w:hint="eastAsia" w:ascii="宋体" w:hAnsi="宋体"/>
          <w:bCs/>
          <w:highlight w:val="none"/>
        </w:rPr>
        <w:t>隶属关系或者其他利害关系</w:t>
      </w:r>
      <w:r>
        <w:rPr>
          <w:rFonts w:hint="eastAsia" w:ascii="宋体" w:hAnsi="宋体"/>
          <w:highlight w:val="none"/>
        </w:rPr>
        <w:t>。</w:t>
      </w:r>
    </w:p>
    <w:p>
      <w:pPr>
        <w:adjustRightInd w:val="0"/>
        <w:snapToGrid w:val="0"/>
        <w:spacing w:line="360" w:lineRule="auto"/>
        <w:ind w:firstLine="420" w:firstLineChars="200"/>
        <w:rPr>
          <w:rFonts w:ascii="宋体"/>
          <w:highlight w:val="none"/>
        </w:rPr>
      </w:pPr>
      <w:r>
        <w:rPr>
          <w:rFonts w:hint="eastAsia" w:ascii="宋体" w:hAnsi="宋体"/>
          <w:highlight w:val="none"/>
        </w:rPr>
        <w:t>（</w:t>
      </w:r>
      <w:r>
        <w:rPr>
          <w:rFonts w:ascii="宋体" w:hAnsi="宋体"/>
          <w:highlight w:val="none"/>
        </w:rPr>
        <w:t>2</w:t>
      </w:r>
      <w:r>
        <w:rPr>
          <w:rFonts w:hint="eastAsia" w:ascii="宋体" w:hAnsi="宋体"/>
          <w:highlight w:val="none"/>
        </w:rPr>
        <w:t>）与其他供应商的法定代表人（或者负责人）为同一人，或者与其他供应商存在直接控股、管理关系。</w:t>
      </w:r>
    </w:p>
    <w:p>
      <w:pPr>
        <w:adjustRightInd w:val="0"/>
        <w:snapToGrid w:val="0"/>
        <w:spacing w:line="360" w:lineRule="auto"/>
        <w:ind w:firstLine="420" w:firstLineChars="200"/>
        <w:rPr>
          <w:rFonts w:ascii="宋体"/>
          <w:highlight w:val="none"/>
        </w:rPr>
      </w:pPr>
      <w:r>
        <w:rPr>
          <w:rFonts w:hint="eastAsia" w:ascii="宋体" w:hAnsi="宋体"/>
          <w:highlight w:val="none"/>
        </w:rPr>
        <w:t>（</w:t>
      </w:r>
      <w:r>
        <w:rPr>
          <w:rFonts w:ascii="宋体" w:hAnsi="宋体"/>
          <w:highlight w:val="none"/>
        </w:rPr>
        <w:t>3</w:t>
      </w:r>
      <w:r>
        <w:rPr>
          <w:rFonts w:hint="eastAsia" w:ascii="宋体" w:hAnsi="宋体"/>
          <w:highlight w:val="none"/>
        </w:rPr>
        <w:t>）</w:t>
      </w:r>
      <w:r>
        <w:rPr>
          <w:rFonts w:hint="eastAsia" w:ascii="宋体" w:hAnsi="宋体"/>
          <w:bCs/>
          <w:highlight w:val="none"/>
        </w:rPr>
        <w:t>受到刑事处罚，或者受到三万元以上的罚款、责令停产停业、在一至三年内禁止参加政府采购活动、暂扣或者吊销许可证、暂扣或者吊销执照等情形之一的行政处罚，或者存在</w:t>
      </w:r>
      <w:r>
        <w:rPr>
          <w:rFonts w:hint="eastAsia" w:ascii="宋体" w:hAnsi="宋体"/>
          <w:highlight w:val="none"/>
        </w:rPr>
        <w:t>财政部门认定的其他重大违法记录。</w:t>
      </w:r>
    </w:p>
    <w:p>
      <w:pPr>
        <w:adjustRightInd w:val="0"/>
        <w:snapToGrid w:val="0"/>
        <w:spacing w:line="360" w:lineRule="auto"/>
        <w:rPr>
          <w:rFonts w:ascii="宋体"/>
          <w:b/>
          <w:bCs/>
          <w:highlight w:val="none"/>
        </w:rPr>
      </w:pPr>
      <w:r>
        <w:rPr>
          <w:rFonts w:ascii="宋体" w:hAnsi="宋体"/>
          <w:b/>
          <w:bCs/>
          <w:highlight w:val="none"/>
        </w:rPr>
        <w:t>4.</w:t>
      </w:r>
      <w:r>
        <w:rPr>
          <w:rFonts w:hint="eastAsia" w:ascii="宋体" w:hAnsi="宋体"/>
          <w:b/>
          <w:bCs/>
          <w:highlight w:val="none"/>
        </w:rPr>
        <w:t>参与磋商的费用</w:t>
      </w:r>
      <w:r>
        <w:rPr>
          <w:rFonts w:ascii="宋体" w:hAnsi="宋体"/>
          <w:b/>
          <w:bCs/>
          <w:highlight w:val="none"/>
        </w:rPr>
        <w:t xml:space="preserve"> </w:t>
      </w:r>
    </w:p>
    <w:p>
      <w:pPr>
        <w:adjustRightInd w:val="0"/>
        <w:snapToGrid w:val="0"/>
        <w:spacing w:line="360" w:lineRule="auto"/>
        <w:ind w:firstLine="420" w:firstLineChars="200"/>
        <w:rPr>
          <w:rFonts w:ascii="宋体"/>
          <w:highlight w:val="none"/>
        </w:rPr>
      </w:pPr>
      <w:r>
        <w:rPr>
          <w:rFonts w:ascii="宋体" w:hAnsi="宋体"/>
          <w:highlight w:val="none"/>
        </w:rPr>
        <w:t xml:space="preserve">4.1 </w:t>
      </w:r>
      <w:r>
        <w:rPr>
          <w:rFonts w:hint="eastAsia" w:ascii="宋体" w:hAnsi="宋体"/>
          <w:highlight w:val="none"/>
        </w:rPr>
        <w:t>无论磋商的结果如何，供应商应自行承担所有与竞争性磋商采购活动有关的全部费用。</w:t>
      </w:r>
    </w:p>
    <w:p>
      <w:pPr>
        <w:pStyle w:val="11"/>
        <w:adjustRightInd w:val="0"/>
        <w:snapToGrid w:val="0"/>
        <w:spacing w:line="360" w:lineRule="auto"/>
        <w:rPr>
          <w:rFonts w:hAnsi="宋体"/>
          <w:b/>
          <w:bCs/>
          <w:highlight w:val="none"/>
        </w:rPr>
      </w:pPr>
      <w:r>
        <w:rPr>
          <w:rFonts w:hAnsi="宋体"/>
          <w:b/>
          <w:highlight w:val="none"/>
        </w:rPr>
        <w:t>5</w:t>
      </w:r>
      <w:r>
        <w:rPr>
          <w:rFonts w:hint="eastAsia" w:hAnsi="宋体"/>
          <w:b/>
          <w:highlight w:val="none"/>
        </w:rPr>
        <w:t>．</w:t>
      </w:r>
      <w:r>
        <w:rPr>
          <w:rFonts w:hint="eastAsia" w:hAnsi="宋体"/>
          <w:b/>
          <w:bCs/>
          <w:highlight w:val="none"/>
        </w:rPr>
        <w:t>授权委托</w:t>
      </w:r>
    </w:p>
    <w:p>
      <w:pPr>
        <w:pStyle w:val="11"/>
        <w:adjustRightInd w:val="0"/>
        <w:snapToGrid w:val="0"/>
        <w:spacing w:line="360" w:lineRule="auto"/>
        <w:ind w:firstLine="420" w:firstLineChars="200"/>
        <w:rPr>
          <w:rFonts w:hAnsi="宋体"/>
          <w:highlight w:val="none"/>
        </w:rPr>
      </w:pPr>
      <w:r>
        <w:rPr>
          <w:rFonts w:hAnsi="宋体"/>
          <w:highlight w:val="none"/>
        </w:rPr>
        <w:t>5.1</w:t>
      </w:r>
      <w:r>
        <w:rPr>
          <w:rFonts w:hint="eastAsia" w:hAnsi="宋体"/>
          <w:highlight w:val="none"/>
        </w:rPr>
        <w:t>供应商代表为供应商单位负责人的，应具备单位负责人身份证明。供应商代表不是供应商单位负责人的，应具备负责人授权书，并附负责人身份证明。</w:t>
      </w:r>
    </w:p>
    <w:p>
      <w:pPr>
        <w:pStyle w:val="11"/>
        <w:adjustRightInd w:val="0"/>
        <w:snapToGrid w:val="0"/>
        <w:spacing w:line="360" w:lineRule="auto"/>
        <w:rPr>
          <w:rFonts w:hAnsi="宋体"/>
          <w:b/>
          <w:highlight w:val="none"/>
        </w:rPr>
      </w:pPr>
      <w:r>
        <w:rPr>
          <w:rFonts w:hAnsi="宋体"/>
          <w:b/>
          <w:highlight w:val="none"/>
        </w:rPr>
        <w:t>6</w:t>
      </w:r>
      <w:r>
        <w:rPr>
          <w:rFonts w:hint="eastAsia" w:hAnsi="宋体"/>
          <w:b/>
          <w:highlight w:val="none"/>
        </w:rPr>
        <w:t>．联合体形式</w:t>
      </w:r>
    </w:p>
    <w:p>
      <w:pPr>
        <w:pStyle w:val="11"/>
        <w:adjustRightInd w:val="0"/>
        <w:snapToGrid w:val="0"/>
        <w:spacing w:line="360" w:lineRule="auto"/>
        <w:ind w:firstLine="420" w:firstLineChars="200"/>
        <w:rPr>
          <w:rFonts w:hAnsi="宋体"/>
          <w:highlight w:val="none"/>
        </w:rPr>
      </w:pPr>
      <w:r>
        <w:rPr>
          <w:rFonts w:hAnsi="宋体"/>
          <w:highlight w:val="none"/>
        </w:rPr>
        <w:t>6.1</w:t>
      </w:r>
      <w:r>
        <w:rPr>
          <w:rFonts w:hint="eastAsia" w:hAnsi="宋体"/>
          <w:highlight w:val="none"/>
        </w:rPr>
        <w:t>除</w:t>
      </w:r>
      <w:r>
        <w:rPr>
          <w:rFonts w:hint="eastAsia" w:hAnsi="宋体"/>
          <w:b/>
          <w:highlight w:val="none"/>
        </w:rPr>
        <w:t>磋商须知前附表</w:t>
      </w:r>
      <w:r>
        <w:rPr>
          <w:rFonts w:hint="eastAsia" w:hAnsi="宋体"/>
          <w:highlight w:val="none"/>
        </w:rPr>
        <w:t>中另有规定，本次磋商采购不接受为联合体形式的供应商。</w:t>
      </w:r>
    </w:p>
    <w:p>
      <w:pPr>
        <w:adjustRightInd w:val="0"/>
        <w:snapToGrid w:val="0"/>
        <w:spacing w:line="360" w:lineRule="auto"/>
        <w:rPr>
          <w:rFonts w:ascii="宋体"/>
          <w:b/>
          <w:highlight w:val="none"/>
        </w:rPr>
      </w:pPr>
      <w:r>
        <w:rPr>
          <w:rFonts w:ascii="宋体" w:hAnsi="宋体"/>
          <w:b/>
          <w:highlight w:val="none"/>
        </w:rPr>
        <w:t>7.</w:t>
      </w:r>
      <w:r>
        <w:rPr>
          <w:rFonts w:hint="eastAsia" w:ascii="宋体" w:hAnsi="宋体"/>
          <w:b/>
          <w:highlight w:val="none"/>
        </w:rPr>
        <w:t>现场勘察</w:t>
      </w:r>
    </w:p>
    <w:p>
      <w:pPr>
        <w:adjustRightInd w:val="0"/>
        <w:snapToGrid w:val="0"/>
        <w:spacing w:line="360" w:lineRule="auto"/>
        <w:ind w:firstLine="420" w:firstLineChars="200"/>
        <w:rPr>
          <w:rFonts w:ascii="宋体"/>
          <w:highlight w:val="none"/>
        </w:rPr>
      </w:pPr>
      <w:r>
        <w:rPr>
          <w:rFonts w:ascii="宋体" w:hAnsi="宋体"/>
          <w:highlight w:val="none"/>
        </w:rPr>
        <w:t>7.1</w:t>
      </w:r>
      <w:r>
        <w:rPr>
          <w:rFonts w:hint="eastAsia" w:ascii="宋体" w:hAnsi="宋体"/>
          <w:highlight w:val="none"/>
        </w:rPr>
        <w:t>供应商应按</w:t>
      </w:r>
      <w:r>
        <w:rPr>
          <w:rFonts w:hint="eastAsia" w:hAnsi="宋体"/>
          <w:b/>
          <w:highlight w:val="none"/>
        </w:rPr>
        <w:t>磋商须知前附表</w:t>
      </w:r>
      <w:r>
        <w:rPr>
          <w:rFonts w:hint="eastAsia" w:hAnsi="宋体"/>
          <w:highlight w:val="none"/>
        </w:rPr>
        <w:t>中规定</w:t>
      </w:r>
      <w:r>
        <w:rPr>
          <w:rFonts w:hint="eastAsia" w:ascii="宋体" w:hAnsi="宋体"/>
          <w:highlight w:val="none"/>
        </w:rPr>
        <w:t>对采购项目现场和周围环境的现场考察。</w:t>
      </w:r>
    </w:p>
    <w:p>
      <w:pPr>
        <w:adjustRightInd w:val="0"/>
        <w:snapToGrid w:val="0"/>
        <w:spacing w:line="360" w:lineRule="auto"/>
        <w:ind w:firstLine="420" w:firstLineChars="200"/>
        <w:rPr>
          <w:rFonts w:ascii="宋体"/>
          <w:highlight w:val="none"/>
        </w:rPr>
      </w:pPr>
      <w:r>
        <w:rPr>
          <w:rFonts w:ascii="宋体" w:hAnsi="宋体"/>
          <w:highlight w:val="none"/>
        </w:rPr>
        <w:t>7.2</w:t>
      </w:r>
      <w:r>
        <w:rPr>
          <w:rFonts w:hint="eastAsia" w:ascii="宋体" w:hAnsi="宋体"/>
          <w:highlight w:val="none"/>
        </w:rPr>
        <w:t>勘察现场的费用由供应商自己承担，勘察期间所发生的人身伤害及财产损失由供应商自己负责。</w:t>
      </w:r>
    </w:p>
    <w:p>
      <w:pPr>
        <w:adjustRightInd w:val="0"/>
        <w:snapToGrid w:val="0"/>
        <w:spacing w:line="360" w:lineRule="auto"/>
        <w:ind w:firstLine="420" w:firstLineChars="200"/>
        <w:jc w:val="left"/>
        <w:rPr>
          <w:rFonts w:ascii="宋体"/>
          <w:b/>
          <w:highlight w:val="none"/>
        </w:rPr>
      </w:pPr>
      <w:r>
        <w:rPr>
          <w:rFonts w:ascii="宋体" w:hAnsi="宋体"/>
          <w:highlight w:val="none"/>
        </w:rPr>
        <w:t>7.3</w:t>
      </w:r>
      <w:r>
        <w:rPr>
          <w:rFonts w:hint="eastAsia" w:ascii="宋体" w:hAnsi="宋体"/>
          <w:highlight w:val="none"/>
        </w:rPr>
        <w:t>采购人不对供应商据此而做出的推论、理解和结论负责。一旦成交，供应商不得以任何借口，提出额外补偿，或延长合同期限的要求。</w:t>
      </w:r>
    </w:p>
    <w:p>
      <w:pPr>
        <w:adjustRightInd w:val="0"/>
        <w:snapToGrid w:val="0"/>
        <w:spacing w:line="360" w:lineRule="auto"/>
        <w:jc w:val="left"/>
        <w:rPr>
          <w:rFonts w:ascii="宋体"/>
          <w:b/>
          <w:highlight w:val="none"/>
        </w:rPr>
      </w:pPr>
      <w:r>
        <w:rPr>
          <w:rFonts w:ascii="宋体" w:hAnsi="宋体"/>
          <w:b/>
          <w:highlight w:val="none"/>
        </w:rPr>
        <w:t>8.</w:t>
      </w:r>
      <w:r>
        <w:rPr>
          <w:rFonts w:hint="eastAsia" w:ascii="宋体" w:hAnsi="宋体"/>
          <w:b/>
          <w:highlight w:val="none"/>
        </w:rPr>
        <w:t>采购进口产品</w:t>
      </w:r>
    </w:p>
    <w:p>
      <w:pPr>
        <w:adjustRightInd w:val="0"/>
        <w:snapToGrid w:val="0"/>
        <w:spacing w:line="360" w:lineRule="auto"/>
        <w:ind w:firstLine="420" w:firstLineChars="200"/>
        <w:jc w:val="left"/>
        <w:rPr>
          <w:rFonts w:ascii="宋体" w:cs="宋体"/>
          <w:kern w:val="0"/>
          <w:highlight w:val="none"/>
        </w:rPr>
      </w:pPr>
      <w:r>
        <w:rPr>
          <w:rFonts w:ascii="宋体" w:hAnsi="宋体"/>
          <w:highlight w:val="none"/>
        </w:rPr>
        <w:t>8.1</w:t>
      </w:r>
      <w:r>
        <w:rPr>
          <w:rFonts w:hint="eastAsia" w:ascii="宋体" w:hAnsi="宋体"/>
          <w:highlight w:val="none"/>
        </w:rPr>
        <w:t>除</w:t>
      </w:r>
      <w:r>
        <w:rPr>
          <w:rFonts w:hint="eastAsia" w:ascii="宋体" w:hAnsi="宋体"/>
          <w:b/>
          <w:highlight w:val="none"/>
        </w:rPr>
        <w:t>磋商文件前附表</w:t>
      </w:r>
      <w:r>
        <w:rPr>
          <w:rFonts w:hint="eastAsia" w:ascii="宋体" w:hAnsi="宋体"/>
          <w:highlight w:val="none"/>
        </w:rPr>
        <w:t>另有规定外，本项目</w:t>
      </w:r>
      <w:r>
        <w:rPr>
          <w:rFonts w:hint="eastAsia" w:ascii="宋体" w:hAnsi="宋体" w:cs="宋体"/>
          <w:kern w:val="0"/>
          <w:highlight w:val="none"/>
        </w:rPr>
        <w:t>拒绝进口产品参加</w:t>
      </w:r>
      <w:r>
        <w:rPr>
          <w:rFonts w:hint="eastAsia" w:ascii="宋体" w:hAnsi="宋体"/>
          <w:highlight w:val="none"/>
        </w:rPr>
        <w:t>竞争性磋商采购活动</w:t>
      </w:r>
      <w:r>
        <w:rPr>
          <w:rFonts w:hint="eastAsia" w:ascii="宋体" w:hAnsi="宋体" w:cs="宋体"/>
          <w:kern w:val="0"/>
          <w:highlight w:val="none"/>
        </w:rPr>
        <w:t>。</w:t>
      </w:r>
    </w:p>
    <w:p>
      <w:pPr>
        <w:adjustRightInd w:val="0"/>
        <w:snapToGrid w:val="0"/>
        <w:spacing w:line="360" w:lineRule="auto"/>
        <w:ind w:firstLine="420" w:firstLineChars="200"/>
        <w:jc w:val="left"/>
        <w:rPr>
          <w:rFonts w:ascii="宋体" w:cs="宋体"/>
          <w:kern w:val="0"/>
          <w:highlight w:val="none"/>
        </w:rPr>
      </w:pPr>
      <w:r>
        <w:rPr>
          <w:rFonts w:ascii="宋体" w:hAnsi="宋体" w:cs="宋体"/>
          <w:kern w:val="0"/>
          <w:highlight w:val="none"/>
        </w:rPr>
        <w:t>8.2</w:t>
      </w:r>
      <w:r>
        <w:rPr>
          <w:rFonts w:hint="eastAsia" w:ascii="宋体" w:hAnsi="宋体"/>
          <w:highlight w:val="none"/>
        </w:rPr>
        <w:t>本章第</w:t>
      </w:r>
      <w:r>
        <w:rPr>
          <w:rFonts w:ascii="宋体" w:hAnsi="宋体"/>
          <w:highlight w:val="none"/>
        </w:rPr>
        <w:t>7.1</w:t>
      </w:r>
      <w:r>
        <w:rPr>
          <w:rFonts w:hint="eastAsia" w:ascii="宋体" w:hAnsi="宋体" w:cs="宋体"/>
          <w:kern w:val="0"/>
          <w:highlight w:val="none"/>
          <w:lang w:val="zh-CN"/>
        </w:rPr>
        <w:t>款</w:t>
      </w:r>
      <w:r>
        <w:rPr>
          <w:rFonts w:hint="eastAsia" w:ascii="宋体" w:hAnsi="宋体"/>
          <w:highlight w:val="none"/>
        </w:rPr>
        <w:t>规定</w:t>
      </w:r>
      <w:r>
        <w:rPr>
          <w:rFonts w:hint="eastAsia" w:ascii="宋体" w:hAnsi="宋体" w:cs="宋体"/>
          <w:kern w:val="0"/>
          <w:highlight w:val="none"/>
        </w:rPr>
        <w:t>同意购买进口产品的，</w:t>
      </w:r>
      <w:r>
        <w:rPr>
          <w:rFonts w:hint="eastAsia" w:ascii="宋体" w:hAnsi="宋体"/>
          <w:highlight w:val="none"/>
        </w:rPr>
        <w:t>本项目</w:t>
      </w:r>
      <w:r>
        <w:rPr>
          <w:rFonts w:hint="eastAsia" w:ascii="宋体" w:hAnsi="宋体" w:cs="宋体"/>
          <w:kern w:val="0"/>
          <w:highlight w:val="none"/>
          <w:lang w:val="zh-CN"/>
        </w:rPr>
        <w:t>采购活动</w:t>
      </w:r>
      <w:r>
        <w:rPr>
          <w:rFonts w:hint="eastAsia" w:ascii="宋体" w:hAnsi="宋体" w:cs="宋体"/>
          <w:kern w:val="0"/>
          <w:highlight w:val="none"/>
        </w:rPr>
        <w:t>不限制满足</w:t>
      </w:r>
      <w:r>
        <w:rPr>
          <w:rFonts w:hint="eastAsia" w:ascii="宋体" w:hAnsi="宋体"/>
          <w:highlight w:val="none"/>
        </w:rPr>
        <w:t>磋商文件要求</w:t>
      </w:r>
      <w:r>
        <w:rPr>
          <w:rFonts w:hint="eastAsia" w:ascii="宋体" w:hAnsi="宋体" w:cs="宋体"/>
          <w:kern w:val="0"/>
          <w:highlight w:val="none"/>
        </w:rPr>
        <w:t>的国内产品参与</w:t>
      </w:r>
      <w:r>
        <w:rPr>
          <w:rFonts w:hint="eastAsia" w:ascii="宋体" w:hAnsi="宋体"/>
          <w:highlight w:val="none"/>
        </w:rPr>
        <w:t>竞争性磋商</w:t>
      </w:r>
      <w:r>
        <w:rPr>
          <w:rFonts w:hint="eastAsia" w:ascii="宋体" w:hAnsi="宋体" w:cs="宋体"/>
          <w:kern w:val="0"/>
          <w:highlight w:val="none"/>
        </w:rPr>
        <w:t>。</w:t>
      </w:r>
    </w:p>
    <w:p>
      <w:pPr>
        <w:adjustRightInd w:val="0"/>
        <w:snapToGrid w:val="0"/>
        <w:spacing w:line="360" w:lineRule="auto"/>
        <w:jc w:val="left"/>
        <w:rPr>
          <w:rFonts w:ascii="宋体"/>
          <w:b/>
          <w:highlight w:val="none"/>
        </w:rPr>
      </w:pPr>
      <w:r>
        <w:rPr>
          <w:rFonts w:ascii="宋体" w:hAnsi="宋体"/>
          <w:b/>
          <w:bCs/>
          <w:highlight w:val="none"/>
        </w:rPr>
        <w:t>9.</w:t>
      </w:r>
      <w:r>
        <w:rPr>
          <w:rFonts w:ascii="宋体" w:hAnsi="宋体"/>
          <w:b/>
          <w:highlight w:val="none"/>
        </w:rPr>
        <w:t xml:space="preserve"> </w:t>
      </w:r>
      <w:r>
        <w:rPr>
          <w:rFonts w:hint="eastAsia" w:ascii="宋体" w:hAnsi="宋体"/>
          <w:b/>
          <w:highlight w:val="none"/>
        </w:rPr>
        <w:t>政府采购政策支持</w:t>
      </w:r>
    </w:p>
    <w:p>
      <w:pPr>
        <w:adjustRightInd w:val="0"/>
        <w:snapToGrid w:val="0"/>
        <w:spacing w:line="360" w:lineRule="auto"/>
        <w:ind w:firstLine="420" w:firstLineChars="200"/>
        <w:jc w:val="left"/>
        <w:rPr>
          <w:rFonts w:ascii="宋体"/>
          <w:highlight w:val="none"/>
        </w:rPr>
      </w:pPr>
      <w:r>
        <w:rPr>
          <w:rFonts w:hint="eastAsia" w:ascii="宋体" w:hAnsi="宋体" w:cs="宋体"/>
          <w:kern w:val="0"/>
          <w:highlight w:val="none"/>
        </w:rPr>
        <w:t>本项目不适用</w:t>
      </w:r>
    </w:p>
    <w:p>
      <w:pPr>
        <w:adjustRightInd w:val="0"/>
        <w:snapToGrid w:val="0"/>
        <w:spacing w:line="360" w:lineRule="auto"/>
        <w:ind w:left="902" w:hanging="902" w:hangingChars="376"/>
        <w:rPr>
          <w:rFonts w:ascii="黑体" w:hAnsi="宋体" w:eastAsia="黑体"/>
          <w:sz w:val="24"/>
          <w:highlight w:val="none"/>
        </w:rPr>
      </w:pPr>
      <w:r>
        <w:rPr>
          <w:rFonts w:hint="eastAsia" w:ascii="黑体" w:hAnsi="宋体" w:eastAsia="黑体"/>
          <w:sz w:val="24"/>
          <w:highlight w:val="none"/>
        </w:rPr>
        <w:t>二、磋商文件</w:t>
      </w:r>
    </w:p>
    <w:p>
      <w:pPr>
        <w:adjustRightInd w:val="0"/>
        <w:snapToGrid w:val="0"/>
        <w:spacing w:line="360" w:lineRule="auto"/>
        <w:rPr>
          <w:rFonts w:ascii="宋体"/>
          <w:b/>
          <w:bCs/>
          <w:highlight w:val="none"/>
        </w:rPr>
      </w:pPr>
      <w:r>
        <w:rPr>
          <w:rFonts w:ascii="宋体" w:hAnsi="宋体"/>
          <w:b/>
          <w:bCs/>
          <w:highlight w:val="none"/>
        </w:rPr>
        <w:t>10</w:t>
      </w:r>
      <w:r>
        <w:rPr>
          <w:rFonts w:hint="eastAsia" w:ascii="宋体" w:hAnsi="宋体"/>
          <w:b/>
          <w:bCs/>
          <w:highlight w:val="none"/>
        </w:rPr>
        <w:t>．磋商文件的组成</w:t>
      </w:r>
    </w:p>
    <w:p>
      <w:pPr>
        <w:pStyle w:val="11"/>
        <w:adjustRightInd w:val="0"/>
        <w:snapToGrid w:val="0"/>
        <w:spacing w:line="360" w:lineRule="auto"/>
        <w:ind w:firstLine="420" w:firstLineChars="200"/>
        <w:rPr>
          <w:rFonts w:hAnsi="宋体"/>
          <w:highlight w:val="none"/>
        </w:rPr>
      </w:pPr>
      <w:r>
        <w:rPr>
          <w:rFonts w:hAnsi="宋体"/>
          <w:highlight w:val="none"/>
        </w:rPr>
        <w:t xml:space="preserve">10.1 </w:t>
      </w:r>
      <w:r>
        <w:rPr>
          <w:rFonts w:hint="eastAsia" w:hAnsi="宋体"/>
          <w:highlight w:val="none"/>
        </w:rPr>
        <w:t>磋商文件由下列文件组成：</w:t>
      </w:r>
    </w:p>
    <w:p>
      <w:pPr>
        <w:pStyle w:val="11"/>
        <w:adjustRightInd w:val="0"/>
        <w:snapToGrid w:val="0"/>
        <w:spacing w:line="360" w:lineRule="auto"/>
        <w:ind w:firstLine="420" w:firstLineChars="200"/>
        <w:rPr>
          <w:rFonts w:hAnsi="宋体"/>
          <w:highlight w:val="none"/>
        </w:rPr>
      </w:pPr>
      <w:r>
        <w:rPr>
          <w:rFonts w:hint="eastAsia" w:hAnsi="宋体"/>
          <w:highlight w:val="none"/>
        </w:rPr>
        <w:t>第一章</w:t>
      </w:r>
      <w:r>
        <w:rPr>
          <w:rFonts w:hAnsi="宋体"/>
          <w:highlight w:val="none"/>
        </w:rPr>
        <w:t xml:space="preserve"> </w:t>
      </w:r>
      <w:r>
        <w:rPr>
          <w:rFonts w:hint="eastAsia" w:hAnsi="宋体"/>
          <w:highlight w:val="none"/>
        </w:rPr>
        <w:t>磋商邀请</w:t>
      </w:r>
    </w:p>
    <w:p>
      <w:pPr>
        <w:pStyle w:val="11"/>
        <w:adjustRightInd w:val="0"/>
        <w:snapToGrid w:val="0"/>
        <w:spacing w:line="360" w:lineRule="auto"/>
        <w:ind w:firstLine="420" w:firstLineChars="200"/>
        <w:rPr>
          <w:rFonts w:hAnsi="宋体"/>
          <w:highlight w:val="none"/>
        </w:rPr>
      </w:pPr>
      <w:r>
        <w:rPr>
          <w:rFonts w:hint="eastAsia" w:hAnsi="宋体"/>
          <w:highlight w:val="none"/>
        </w:rPr>
        <w:t>第二章</w:t>
      </w:r>
      <w:r>
        <w:rPr>
          <w:rFonts w:hAnsi="宋体"/>
          <w:highlight w:val="none"/>
        </w:rPr>
        <w:t xml:space="preserve"> </w:t>
      </w:r>
      <w:r>
        <w:rPr>
          <w:rFonts w:hint="eastAsia" w:hAnsi="宋体"/>
          <w:highlight w:val="none"/>
        </w:rPr>
        <w:t>磋商须知</w:t>
      </w:r>
    </w:p>
    <w:p>
      <w:pPr>
        <w:pStyle w:val="11"/>
        <w:adjustRightInd w:val="0"/>
        <w:snapToGrid w:val="0"/>
        <w:spacing w:line="360" w:lineRule="auto"/>
        <w:ind w:firstLine="420" w:firstLineChars="200"/>
        <w:rPr>
          <w:rFonts w:hAnsi="宋体"/>
          <w:highlight w:val="none"/>
        </w:rPr>
      </w:pPr>
      <w:r>
        <w:rPr>
          <w:rFonts w:hint="eastAsia" w:hAnsi="宋体"/>
          <w:highlight w:val="none"/>
        </w:rPr>
        <w:t>第三章</w:t>
      </w:r>
      <w:r>
        <w:rPr>
          <w:rFonts w:hAnsi="宋体"/>
          <w:highlight w:val="none"/>
        </w:rPr>
        <w:t xml:space="preserve"> </w:t>
      </w:r>
      <w:r>
        <w:rPr>
          <w:rFonts w:hint="eastAsia" w:hAnsi="宋体"/>
          <w:highlight w:val="none"/>
        </w:rPr>
        <w:t>采购合同格式条款</w:t>
      </w:r>
    </w:p>
    <w:p>
      <w:pPr>
        <w:pStyle w:val="11"/>
        <w:adjustRightInd w:val="0"/>
        <w:snapToGrid w:val="0"/>
        <w:spacing w:line="360" w:lineRule="auto"/>
        <w:ind w:firstLine="420" w:firstLineChars="200"/>
        <w:rPr>
          <w:rFonts w:hAnsi="宋体"/>
          <w:highlight w:val="none"/>
        </w:rPr>
      </w:pPr>
      <w:r>
        <w:rPr>
          <w:rFonts w:hint="eastAsia" w:hAnsi="宋体"/>
          <w:highlight w:val="none"/>
        </w:rPr>
        <w:t>第四章</w:t>
      </w:r>
      <w:r>
        <w:rPr>
          <w:rFonts w:hAnsi="宋体"/>
          <w:highlight w:val="none"/>
        </w:rPr>
        <w:t xml:space="preserve"> </w:t>
      </w:r>
      <w:r>
        <w:rPr>
          <w:rFonts w:hint="eastAsia" w:hAnsi="宋体"/>
          <w:highlight w:val="none"/>
        </w:rPr>
        <w:t>采购需求</w:t>
      </w:r>
    </w:p>
    <w:p>
      <w:pPr>
        <w:pStyle w:val="11"/>
        <w:adjustRightInd w:val="0"/>
        <w:snapToGrid w:val="0"/>
        <w:spacing w:line="360" w:lineRule="auto"/>
        <w:ind w:firstLine="420" w:firstLineChars="200"/>
        <w:rPr>
          <w:rFonts w:hAnsi="宋体"/>
          <w:highlight w:val="none"/>
        </w:rPr>
      </w:pPr>
      <w:r>
        <w:rPr>
          <w:rFonts w:hint="eastAsia" w:hAnsi="宋体"/>
          <w:highlight w:val="none"/>
        </w:rPr>
        <w:t>第五章</w:t>
      </w:r>
      <w:r>
        <w:rPr>
          <w:rFonts w:hAnsi="宋体"/>
          <w:highlight w:val="none"/>
        </w:rPr>
        <w:t xml:space="preserve"> </w:t>
      </w:r>
      <w:r>
        <w:rPr>
          <w:rFonts w:hint="eastAsia" w:hAnsi="宋体"/>
          <w:highlight w:val="none"/>
        </w:rPr>
        <w:t>响应文件组成</w:t>
      </w:r>
    </w:p>
    <w:p>
      <w:pPr>
        <w:pStyle w:val="11"/>
        <w:adjustRightInd w:val="0"/>
        <w:snapToGrid w:val="0"/>
        <w:spacing w:line="360" w:lineRule="auto"/>
        <w:ind w:firstLine="420" w:firstLineChars="200"/>
        <w:rPr>
          <w:rFonts w:hAnsi="宋体"/>
          <w:kern w:val="0"/>
          <w:highlight w:val="none"/>
        </w:rPr>
      </w:pPr>
      <w:r>
        <w:rPr>
          <w:highlight w:val="none"/>
        </w:rPr>
        <w:t>10.2</w:t>
      </w:r>
      <w:r>
        <w:rPr>
          <w:rFonts w:hint="eastAsia" w:hAnsi="宋体"/>
          <w:kern w:val="0"/>
          <w:highlight w:val="none"/>
        </w:rPr>
        <w:t>磋商小组根据与供应商磋商情况可能实质性变动的内容，包括采购需求中的技术、服务要求以及合同条款，</w:t>
      </w:r>
      <w:r>
        <w:rPr>
          <w:rFonts w:hint="eastAsia"/>
          <w:highlight w:val="none"/>
        </w:rPr>
        <w:t>在</w:t>
      </w:r>
      <w:r>
        <w:rPr>
          <w:rFonts w:hint="eastAsia"/>
          <w:b/>
          <w:highlight w:val="none"/>
        </w:rPr>
        <w:t>磋商须知前附表</w:t>
      </w:r>
      <w:r>
        <w:rPr>
          <w:rFonts w:hint="eastAsia"/>
          <w:highlight w:val="none"/>
        </w:rPr>
        <w:t>中明确。</w:t>
      </w:r>
    </w:p>
    <w:p>
      <w:pPr>
        <w:adjustRightInd w:val="0"/>
        <w:snapToGrid w:val="0"/>
        <w:spacing w:line="360" w:lineRule="auto"/>
        <w:ind w:firstLine="420" w:firstLineChars="200"/>
        <w:rPr>
          <w:rFonts w:ascii="宋体"/>
          <w:highlight w:val="none"/>
        </w:rPr>
      </w:pPr>
      <w:r>
        <w:rPr>
          <w:rFonts w:ascii="宋体" w:hAnsi="宋体"/>
          <w:highlight w:val="none"/>
        </w:rPr>
        <w:t>10.3</w:t>
      </w:r>
      <w:r>
        <w:rPr>
          <w:rFonts w:hint="eastAsia" w:ascii="宋体" w:hAnsi="宋体"/>
          <w:highlight w:val="none"/>
        </w:rPr>
        <w:t>供应商应仔细阅读</w:t>
      </w:r>
      <w:r>
        <w:rPr>
          <w:rFonts w:hint="eastAsia" w:ascii="宋体" w:hAnsi="宋体"/>
          <w:bCs/>
          <w:highlight w:val="none"/>
        </w:rPr>
        <w:t>磋商</w:t>
      </w:r>
      <w:r>
        <w:rPr>
          <w:rFonts w:hint="eastAsia" w:ascii="宋体" w:hAnsi="宋体"/>
          <w:highlight w:val="none"/>
        </w:rPr>
        <w:t>文件的全部内容，按照</w:t>
      </w:r>
      <w:r>
        <w:rPr>
          <w:rFonts w:hint="eastAsia" w:ascii="宋体" w:hAnsi="宋体"/>
          <w:bCs/>
          <w:highlight w:val="none"/>
        </w:rPr>
        <w:t>磋商</w:t>
      </w:r>
      <w:r>
        <w:rPr>
          <w:rFonts w:hint="eastAsia" w:ascii="宋体" w:hAnsi="宋体"/>
          <w:highlight w:val="none"/>
        </w:rPr>
        <w:t>文件要求编制</w:t>
      </w:r>
      <w:r>
        <w:rPr>
          <w:rFonts w:hint="eastAsia"/>
          <w:highlight w:val="none"/>
        </w:rPr>
        <w:t>响应</w:t>
      </w:r>
      <w:r>
        <w:rPr>
          <w:rFonts w:hint="eastAsia" w:ascii="宋体" w:hAnsi="宋体"/>
          <w:highlight w:val="none"/>
        </w:rPr>
        <w:t>文件。任何对</w:t>
      </w:r>
      <w:r>
        <w:rPr>
          <w:rFonts w:hint="eastAsia" w:ascii="宋体" w:hAnsi="宋体"/>
          <w:bCs/>
          <w:highlight w:val="none"/>
        </w:rPr>
        <w:t>磋商</w:t>
      </w:r>
      <w:r>
        <w:rPr>
          <w:rFonts w:hint="eastAsia" w:ascii="宋体" w:hAnsi="宋体"/>
          <w:highlight w:val="none"/>
        </w:rPr>
        <w:t>文件的忽略或误解不能作为</w:t>
      </w:r>
      <w:r>
        <w:rPr>
          <w:rFonts w:hint="eastAsia"/>
          <w:highlight w:val="none"/>
        </w:rPr>
        <w:t>响应</w:t>
      </w:r>
      <w:r>
        <w:rPr>
          <w:rFonts w:hint="eastAsia" w:ascii="宋体" w:hAnsi="宋体"/>
          <w:highlight w:val="none"/>
        </w:rPr>
        <w:t>文件存在缺陷或瑕疵的理由，其风险由供应商承担。</w:t>
      </w:r>
    </w:p>
    <w:p>
      <w:pPr>
        <w:adjustRightInd w:val="0"/>
        <w:snapToGrid w:val="0"/>
        <w:spacing w:line="360" w:lineRule="auto"/>
        <w:rPr>
          <w:rFonts w:ascii="宋体"/>
          <w:b/>
          <w:highlight w:val="none"/>
        </w:rPr>
      </w:pPr>
      <w:r>
        <w:rPr>
          <w:rFonts w:ascii="宋体" w:hAnsi="宋体"/>
          <w:b/>
          <w:highlight w:val="none"/>
        </w:rPr>
        <w:t>11.</w:t>
      </w:r>
      <w:r>
        <w:rPr>
          <w:rFonts w:hint="eastAsia" w:ascii="宋体" w:hAnsi="宋体"/>
          <w:b/>
          <w:highlight w:val="none"/>
        </w:rPr>
        <w:t>磋商文件的提供期限</w:t>
      </w:r>
    </w:p>
    <w:p>
      <w:pPr>
        <w:adjustRightInd w:val="0"/>
        <w:snapToGrid w:val="0"/>
        <w:spacing w:line="360" w:lineRule="auto"/>
        <w:ind w:firstLine="420" w:firstLineChars="200"/>
        <w:rPr>
          <w:rFonts w:ascii="宋体"/>
          <w:highlight w:val="none"/>
        </w:rPr>
      </w:pPr>
      <w:r>
        <w:rPr>
          <w:rFonts w:ascii="宋体" w:hAnsi="宋体"/>
          <w:highlight w:val="none"/>
        </w:rPr>
        <w:t>11.1</w:t>
      </w:r>
      <w:r>
        <w:rPr>
          <w:rFonts w:hint="eastAsia" w:ascii="宋体" w:hAnsi="宋体"/>
          <w:highlight w:val="none"/>
        </w:rPr>
        <w:t>磋商文件的提供期限自开始发出之日起不得少于五个工作日。具体提供期限见</w:t>
      </w:r>
      <w:r>
        <w:rPr>
          <w:rFonts w:hint="eastAsia" w:ascii="宋体" w:hAnsi="宋体"/>
          <w:b/>
          <w:highlight w:val="none"/>
        </w:rPr>
        <w:t>磋商文件前附表</w:t>
      </w:r>
      <w:r>
        <w:rPr>
          <w:rFonts w:hint="eastAsia" w:ascii="宋体" w:hAnsi="宋体"/>
          <w:highlight w:val="none"/>
        </w:rPr>
        <w:t>。</w:t>
      </w:r>
    </w:p>
    <w:p>
      <w:pPr>
        <w:adjustRightInd w:val="0"/>
        <w:snapToGrid w:val="0"/>
        <w:spacing w:line="360" w:lineRule="auto"/>
        <w:ind w:firstLine="420" w:firstLineChars="200"/>
        <w:rPr>
          <w:rFonts w:ascii="宋体"/>
          <w:highlight w:val="none"/>
        </w:rPr>
      </w:pPr>
      <w:r>
        <w:rPr>
          <w:rFonts w:ascii="宋体" w:hAnsi="宋体"/>
          <w:highlight w:val="none"/>
        </w:rPr>
        <w:t>11.2</w:t>
      </w:r>
      <w:r>
        <w:rPr>
          <w:rFonts w:hint="eastAsia" w:ascii="宋体" w:hAnsi="宋体"/>
          <w:highlight w:val="none"/>
        </w:rPr>
        <w:t>供应商应持</w:t>
      </w:r>
      <w:r>
        <w:rPr>
          <w:rFonts w:hint="eastAsia" w:ascii="宋体" w:hAnsi="宋体"/>
          <w:b/>
          <w:highlight w:val="none"/>
        </w:rPr>
        <w:t>磋商文件前附表</w:t>
      </w:r>
      <w:r>
        <w:rPr>
          <w:rFonts w:hint="eastAsia" w:ascii="宋体" w:hAnsi="宋体"/>
          <w:highlight w:val="none"/>
        </w:rPr>
        <w:t>规定的资料领取或购买磋商文件。</w:t>
      </w:r>
    </w:p>
    <w:p>
      <w:pPr>
        <w:pStyle w:val="11"/>
        <w:adjustRightInd w:val="0"/>
        <w:snapToGrid w:val="0"/>
        <w:spacing w:line="360" w:lineRule="auto"/>
        <w:rPr>
          <w:rFonts w:hAnsi="宋体"/>
          <w:highlight w:val="none"/>
        </w:rPr>
      </w:pPr>
      <w:r>
        <w:rPr>
          <w:rFonts w:hAnsi="宋体"/>
          <w:b/>
          <w:highlight w:val="none"/>
        </w:rPr>
        <w:t>12.</w:t>
      </w:r>
      <w:r>
        <w:rPr>
          <w:rFonts w:hint="eastAsia" w:hAnsi="宋体"/>
          <w:b/>
          <w:kern w:val="0"/>
          <w:highlight w:val="none"/>
        </w:rPr>
        <w:t>提交首次响应文件</w:t>
      </w:r>
      <w:r>
        <w:rPr>
          <w:rFonts w:hint="eastAsia" w:hAnsi="宋体"/>
          <w:b/>
          <w:highlight w:val="none"/>
        </w:rPr>
        <w:t>的</w:t>
      </w:r>
      <w:r>
        <w:rPr>
          <w:rFonts w:hint="eastAsia" w:hAnsi="宋体"/>
          <w:b/>
          <w:kern w:val="0"/>
          <w:highlight w:val="none"/>
        </w:rPr>
        <w:t>截止</w:t>
      </w:r>
      <w:r>
        <w:rPr>
          <w:rFonts w:hint="eastAsia" w:hAnsi="宋体"/>
          <w:b/>
          <w:highlight w:val="none"/>
        </w:rPr>
        <w:t>时间</w:t>
      </w:r>
    </w:p>
    <w:p>
      <w:pPr>
        <w:pStyle w:val="11"/>
        <w:adjustRightInd w:val="0"/>
        <w:snapToGrid w:val="0"/>
        <w:spacing w:line="360" w:lineRule="auto"/>
        <w:ind w:firstLine="420" w:firstLineChars="200"/>
        <w:rPr>
          <w:rFonts w:hAnsi="宋体"/>
          <w:highlight w:val="none"/>
        </w:rPr>
      </w:pPr>
      <w:r>
        <w:rPr>
          <w:rFonts w:hAnsi="宋体"/>
          <w:highlight w:val="none"/>
        </w:rPr>
        <w:t>12.1</w:t>
      </w:r>
      <w:r>
        <w:rPr>
          <w:rFonts w:hint="eastAsia" w:hAnsi="宋体"/>
          <w:kern w:val="0"/>
          <w:highlight w:val="none"/>
        </w:rPr>
        <w:t>供应商提交首次响应文件截止</w:t>
      </w:r>
      <w:r>
        <w:rPr>
          <w:rFonts w:hint="eastAsia" w:hAnsi="宋体"/>
          <w:highlight w:val="none"/>
        </w:rPr>
        <w:t>时间见</w:t>
      </w:r>
      <w:r>
        <w:rPr>
          <w:rFonts w:hint="eastAsia" w:hAnsi="宋体"/>
          <w:b/>
          <w:highlight w:val="none"/>
        </w:rPr>
        <w:t>磋商须知前附表</w:t>
      </w:r>
      <w:r>
        <w:rPr>
          <w:rFonts w:hint="eastAsia" w:hAnsi="宋体"/>
          <w:highlight w:val="none"/>
        </w:rPr>
        <w:t>。</w:t>
      </w:r>
    </w:p>
    <w:p>
      <w:pPr>
        <w:adjustRightInd w:val="0"/>
        <w:snapToGrid w:val="0"/>
        <w:spacing w:line="360" w:lineRule="auto"/>
        <w:rPr>
          <w:rFonts w:ascii="宋体"/>
          <w:b/>
          <w:bCs/>
          <w:highlight w:val="none"/>
        </w:rPr>
      </w:pPr>
      <w:r>
        <w:rPr>
          <w:rFonts w:ascii="宋体" w:hAnsi="宋体"/>
          <w:b/>
          <w:bCs/>
          <w:highlight w:val="none"/>
        </w:rPr>
        <w:t>13.</w:t>
      </w:r>
      <w:r>
        <w:rPr>
          <w:rFonts w:hint="eastAsia" w:ascii="宋体" w:hAnsi="宋体"/>
          <w:b/>
          <w:bCs/>
          <w:highlight w:val="none"/>
        </w:rPr>
        <w:t>磋商文件的澄清</w:t>
      </w:r>
      <w:r>
        <w:rPr>
          <w:rFonts w:hint="eastAsia" w:ascii="宋体" w:hAnsi="宋体"/>
          <w:b/>
          <w:kern w:val="0"/>
          <w:highlight w:val="none"/>
          <w:lang w:val="zh-CN"/>
        </w:rPr>
        <w:t>或者</w:t>
      </w:r>
      <w:r>
        <w:rPr>
          <w:rFonts w:hint="eastAsia" w:ascii="宋体" w:hAnsi="宋体"/>
          <w:b/>
          <w:bCs/>
          <w:highlight w:val="none"/>
        </w:rPr>
        <w:t>修改</w:t>
      </w:r>
    </w:p>
    <w:p>
      <w:pPr>
        <w:adjustRightInd w:val="0"/>
        <w:snapToGrid w:val="0"/>
        <w:spacing w:line="360" w:lineRule="auto"/>
        <w:ind w:right="-105" w:rightChars="-50" w:firstLine="420" w:firstLineChars="200"/>
        <w:rPr>
          <w:rFonts w:ascii="宋体" w:cs="宋体"/>
          <w:kern w:val="0"/>
          <w:highlight w:val="none"/>
        </w:rPr>
      </w:pPr>
      <w:r>
        <w:rPr>
          <w:rFonts w:ascii="宋体" w:hAnsi="宋体"/>
          <w:highlight w:val="none"/>
        </w:rPr>
        <w:t>13.1</w:t>
      </w:r>
      <w:r>
        <w:rPr>
          <w:rFonts w:hint="eastAsia" w:ascii="宋体" w:hAnsi="宋体"/>
          <w:highlight w:val="none"/>
        </w:rPr>
        <w:t>在</w:t>
      </w:r>
      <w:r>
        <w:rPr>
          <w:rFonts w:hint="eastAsia" w:ascii="宋体" w:hAnsi="宋体" w:cs="宋体"/>
          <w:kern w:val="0"/>
          <w:highlight w:val="none"/>
        </w:rPr>
        <w:t>提交首次响应文件截止之日前，采购人、采购代理机构可以对已发出的磋商文件进行必要的澄清或者修改。</w:t>
      </w:r>
      <w:r>
        <w:rPr>
          <w:rFonts w:ascii="宋体" w:hAnsi="宋体" w:cs="宋体"/>
          <w:kern w:val="0"/>
          <w:highlight w:val="none"/>
        </w:rPr>
        <w:t xml:space="preserve"> </w:t>
      </w:r>
    </w:p>
    <w:p>
      <w:pPr>
        <w:adjustRightInd w:val="0"/>
        <w:snapToGrid w:val="0"/>
        <w:spacing w:line="360" w:lineRule="auto"/>
        <w:ind w:right="-105" w:rightChars="-50" w:firstLine="420" w:firstLineChars="200"/>
        <w:rPr>
          <w:rFonts w:ascii="宋体" w:cs="宋体"/>
          <w:kern w:val="0"/>
          <w:highlight w:val="none"/>
        </w:rPr>
      </w:pPr>
      <w:r>
        <w:rPr>
          <w:rFonts w:ascii="宋体" w:hAnsi="宋体"/>
          <w:highlight w:val="none"/>
        </w:rPr>
        <w:t>13.2</w:t>
      </w:r>
      <w:r>
        <w:rPr>
          <w:rFonts w:hint="eastAsia" w:ascii="宋体" w:hAnsi="宋体" w:cs="宋体"/>
          <w:kern w:val="0"/>
          <w:highlight w:val="none"/>
        </w:rPr>
        <w:t>澄清或者修改的内容可能影响响应文件编制的，采购人、采购代理机构应当在提交首次响应文件截止之日</w:t>
      </w:r>
      <w:r>
        <w:rPr>
          <w:rFonts w:ascii="宋体" w:hAnsi="宋体" w:cs="宋体"/>
          <w:kern w:val="0"/>
          <w:highlight w:val="none"/>
        </w:rPr>
        <w:t>3</w:t>
      </w:r>
      <w:r>
        <w:rPr>
          <w:rFonts w:hint="eastAsia" w:ascii="宋体" w:hAnsi="宋体" w:cs="宋体"/>
          <w:kern w:val="0"/>
          <w:highlight w:val="none"/>
        </w:rPr>
        <w:t>个工作日前，以书面形式通知所有接收磋商文件的供应商，不足</w:t>
      </w:r>
      <w:r>
        <w:rPr>
          <w:rFonts w:ascii="宋体" w:hAnsi="宋体" w:cs="宋体"/>
          <w:kern w:val="0"/>
          <w:highlight w:val="none"/>
        </w:rPr>
        <w:t>3</w:t>
      </w:r>
      <w:r>
        <w:rPr>
          <w:rFonts w:hint="eastAsia" w:ascii="宋体" w:hAnsi="宋体" w:cs="宋体"/>
          <w:kern w:val="0"/>
          <w:highlight w:val="none"/>
        </w:rPr>
        <w:t>个工作日的，顺延供应商提交首次响应文件截止时间。</w:t>
      </w:r>
    </w:p>
    <w:p>
      <w:pPr>
        <w:pStyle w:val="11"/>
        <w:adjustRightInd w:val="0"/>
        <w:snapToGrid w:val="0"/>
        <w:spacing w:line="360" w:lineRule="auto"/>
        <w:ind w:firstLine="420" w:firstLineChars="200"/>
        <w:rPr>
          <w:highlight w:val="none"/>
        </w:rPr>
      </w:pPr>
      <w:r>
        <w:rPr>
          <w:highlight w:val="none"/>
        </w:rPr>
        <w:t>13.2</w:t>
      </w:r>
      <w:r>
        <w:rPr>
          <w:rFonts w:hint="eastAsia" w:hAnsi="宋体"/>
          <w:kern w:val="0"/>
          <w:highlight w:val="none"/>
        </w:rPr>
        <w:t>提交首次响应文件截止时间前对磋商文件澄清或者修改内容，为磋商文件的组成部分。</w:t>
      </w:r>
    </w:p>
    <w:p>
      <w:pPr>
        <w:adjustRightInd w:val="0"/>
        <w:snapToGrid w:val="0"/>
        <w:spacing w:line="360" w:lineRule="auto"/>
        <w:ind w:left="902" w:hanging="902" w:hangingChars="376"/>
        <w:rPr>
          <w:rFonts w:ascii="黑体" w:hAnsi="宋体" w:eastAsia="黑体"/>
          <w:sz w:val="24"/>
          <w:highlight w:val="none"/>
        </w:rPr>
      </w:pPr>
      <w:r>
        <w:rPr>
          <w:rFonts w:hint="eastAsia" w:ascii="黑体" w:hAnsi="宋体" w:eastAsia="黑体"/>
          <w:sz w:val="24"/>
          <w:highlight w:val="none"/>
        </w:rPr>
        <w:t>三、响应文件</w:t>
      </w:r>
    </w:p>
    <w:p>
      <w:pPr>
        <w:adjustRightInd w:val="0"/>
        <w:snapToGrid w:val="0"/>
        <w:spacing w:line="360" w:lineRule="auto"/>
        <w:rPr>
          <w:rFonts w:ascii="宋体"/>
          <w:b/>
          <w:bCs/>
          <w:highlight w:val="none"/>
        </w:rPr>
      </w:pPr>
      <w:r>
        <w:rPr>
          <w:rFonts w:ascii="宋体" w:hAnsi="宋体"/>
          <w:b/>
          <w:bCs/>
          <w:highlight w:val="none"/>
        </w:rPr>
        <w:t>14.</w:t>
      </w:r>
      <w:r>
        <w:rPr>
          <w:rFonts w:hint="eastAsia" w:ascii="宋体" w:hAnsi="宋体"/>
          <w:b/>
          <w:bCs/>
          <w:highlight w:val="none"/>
        </w:rPr>
        <w:t>一般要求</w:t>
      </w:r>
    </w:p>
    <w:p>
      <w:pPr>
        <w:adjustRightInd w:val="0"/>
        <w:snapToGrid w:val="0"/>
        <w:spacing w:line="360" w:lineRule="auto"/>
        <w:ind w:firstLine="420" w:firstLineChars="200"/>
        <w:rPr>
          <w:rFonts w:ascii="宋体"/>
          <w:bCs/>
          <w:highlight w:val="none"/>
        </w:rPr>
      </w:pPr>
      <w:r>
        <w:rPr>
          <w:rFonts w:ascii="宋体" w:hAnsi="宋体"/>
          <w:bCs/>
          <w:highlight w:val="none"/>
        </w:rPr>
        <w:t xml:space="preserve">14.1 </w:t>
      </w:r>
      <w:r>
        <w:rPr>
          <w:rFonts w:hint="eastAsia" w:ascii="宋体" w:hAnsi="宋体"/>
          <w:bCs/>
          <w:highlight w:val="none"/>
        </w:rPr>
        <w:t>供应商应仔细阅读磋商文件的所有内容，按磋商文件的要求编制响应文件，并保证所提供的全部资料的真实性，以使其响应文件对磋商文件做出实质性的响应。</w:t>
      </w:r>
    </w:p>
    <w:p>
      <w:pPr>
        <w:adjustRightInd w:val="0"/>
        <w:snapToGrid w:val="0"/>
        <w:spacing w:line="360" w:lineRule="auto"/>
        <w:ind w:firstLine="420" w:firstLineChars="200"/>
        <w:rPr>
          <w:rFonts w:ascii="宋体"/>
          <w:bCs/>
          <w:highlight w:val="none"/>
        </w:rPr>
      </w:pPr>
      <w:r>
        <w:rPr>
          <w:rFonts w:ascii="宋体" w:hAnsi="宋体"/>
          <w:bCs/>
          <w:highlight w:val="none"/>
        </w:rPr>
        <w:t xml:space="preserve">14.2 </w:t>
      </w:r>
      <w:r>
        <w:rPr>
          <w:rFonts w:hint="eastAsia" w:ascii="宋体" w:hAnsi="宋体"/>
          <w:highlight w:val="none"/>
        </w:rPr>
        <w:t>供应商提交的响应文件及供应商与采购人或采购代理机构、磋商小组就有关磋商的所有来往函电均使用中文。供应商可以提交其它语言的资料，但应附中文注释，在有差异时以中文为准。</w:t>
      </w:r>
    </w:p>
    <w:p>
      <w:pPr>
        <w:pStyle w:val="11"/>
        <w:adjustRightInd w:val="0"/>
        <w:snapToGrid w:val="0"/>
        <w:spacing w:line="360" w:lineRule="auto"/>
        <w:ind w:firstLine="420" w:firstLineChars="200"/>
        <w:rPr>
          <w:rFonts w:hAnsi="宋体"/>
          <w:highlight w:val="none"/>
        </w:rPr>
      </w:pPr>
      <w:r>
        <w:rPr>
          <w:rFonts w:hAnsi="宋体"/>
          <w:bCs/>
          <w:highlight w:val="none"/>
        </w:rPr>
        <w:t xml:space="preserve">14.3 </w:t>
      </w:r>
      <w:r>
        <w:rPr>
          <w:rFonts w:hint="eastAsia" w:hAnsi="宋体"/>
          <w:highlight w:val="none"/>
        </w:rPr>
        <w:t>计量单位应使用我国法定计量单位，未列明时应默认为我国法定计量单位。</w:t>
      </w:r>
    </w:p>
    <w:p>
      <w:pPr>
        <w:pStyle w:val="11"/>
        <w:adjustRightInd w:val="0"/>
        <w:snapToGrid w:val="0"/>
        <w:spacing w:line="360" w:lineRule="auto"/>
        <w:ind w:firstLine="420" w:firstLineChars="200"/>
        <w:rPr>
          <w:rFonts w:hAnsi="宋体"/>
          <w:highlight w:val="none"/>
        </w:rPr>
      </w:pPr>
      <w:r>
        <w:rPr>
          <w:rFonts w:hAnsi="宋体"/>
          <w:highlight w:val="none"/>
        </w:rPr>
        <w:t xml:space="preserve">14.4 </w:t>
      </w:r>
      <w:r>
        <w:rPr>
          <w:rFonts w:hint="eastAsia" w:hAnsi="宋体"/>
          <w:highlight w:val="none"/>
        </w:rPr>
        <w:t>响应文件应采用书面形式，电报、传真、电子邮件形式的响应文件概不接受。</w:t>
      </w:r>
    </w:p>
    <w:p>
      <w:pPr>
        <w:adjustRightInd w:val="0"/>
        <w:snapToGrid w:val="0"/>
        <w:spacing w:line="360" w:lineRule="auto"/>
        <w:ind w:firstLine="420" w:firstLineChars="200"/>
        <w:rPr>
          <w:rFonts w:ascii="宋体"/>
          <w:highlight w:val="none"/>
        </w:rPr>
      </w:pPr>
      <w:r>
        <w:rPr>
          <w:rFonts w:ascii="宋体" w:hAnsi="宋体"/>
          <w:highlight w:val="none"/>
        </w:rPr>
        <w:t xml:space="preserve">14.5 </w:t>
      </w:r>
      <w:r>
        <w:rPr>
          <w:rFonts w:hint="eastAsia" w:ascii="宋体" w:hAnsi="宋体"/>
          <w:highlight w:val="none"/>
        </w:rPr>
        <w:t>供应商应按磋商文件中提供的响应文件格式填写。</w:t>
      </w:r>
    </w:p>
    <w:p>
      <w:pPr>
        <w:adjustRightInd w:val="0"/>
        <w:snapToGrid w:val="0"/>
        <w:spacing w:line="360" w:lineRule="auto"/>
        <w:rPr>
          <w:rFonts w:ascii="宋体"/>
          <w:b/>
          <w:bCs/>
          <w:highlight w:val="none"/>
        </w:rPr>
      </w:pPr>
      <w:r>
        <w:rPr>
          <w:rFonts w:ascii="宋体" w:hAnsi="宋体"/>
          <w:b/>
          <w:bCs/>
          <w:highlight w:val="none"/>
        </w:rPr>
        <w:t>15.</w:t>
      </w:r>
      <w:r>
        <w:rPr>
          <w:rFonts w:hint="eastAsia" w:ascii="宋体" w:hAnsi="宋体"/>
          <w:b/>
          <w:highlight w:val="none"/>
        </w:rPr>
        <w:t>响应文件</w:t>
      </w:r>
      <w:r>
        <w:rPr>
          <w:rFonts w:hint="eastAsia" w:ascii="宋体" w:hAnsi="宋体"/>
          <w:b/>
          <w:bCs/>
          <w:highlight w:val="none"/>
        </w:rPr>
        <w:t>的组成</w:t>
      </w:r>
    </w:p>
    <w:p>
      <w:pPr>
        <w:adjustRightInd w:val="0"/>
        <w:snapToGrid w:val="0"/>
        <w:spacing w:line="360" w:lineRule="auto"/>
        <w:ind w:firstLine="420" w:firstLineChars="200"/>
        <w:jc w:val="left"/>
        <w:outlineLvl w:val="0"/>
        <w:rPr>
          <w:rFonts w:ascii="宋体"/>
          <w:highlight w:val="none"/>
        </w:rPr>
      </w:pPr>
      <w:r>
        <w:rPr>
          <w:rFonts w:ascii="宋体" w:hAnsi="宋体"/>
          <w:highlight w:val="none"/>
        </w:rPr>
        <w:t>15.1</w:t>
      </w:r>
      <w:r>
        <w:rPr>
          <w:rFonts w:hAnsi="宋体"/>
          <w:highlight w:val="none"/>
        </w:rPr>
        <w:t xml:space="preserve"> </w:t>
      </w:r>
      <w:r>
        <w:rPr>
          <w:rFonts w:hint="eastAsia" w:hAnsi="宋体"/>
          <w:highlight w:val="none"/>
        </w:rPr>
        <w:t>响应文件包括下列内容：</w:t>
      </w:r>
    </w:p>
    <w:p>
      <w:pPr>
        <w:pStyle w:val="11"/>
        <w:adjustRightInd w:val="0"/>
        <w:snapToGrid w:val="0"/>
        <w:spacing w:line="360" w:lineRule="auto"/>
        <w:ind w:firstLine="420" w:firstLineChars="200"/>
        <w:rPr>
          <w:rFonts w:hAnsi="宋体"/>
          <w:highlight w:val="none"/>
        </w:rPr>
      </w:pPr>
      <w:r>
        <w:rPr>
          <w:rFonts w:hint="eastAsia" w:hAnsi="宋体"/>
          <w:highlight w:val="none"/>
        </w:rPr>
        <w:t>（</w:t>
      </w:r>
      <w:r>
        <w:rPr>
          <w:rFonts w:hAnsi="宋体"/>
          <w:highlight w:val="none"/>
        </w:rPr>
        <w:t>1</w:t>
      </w:r>
      <w:r>
        <w:rPr>
          <w:rFonts w:hint="eastAsia" w:hAnsi="宋体"/>
          <w:highlight w:val="none"/>
        </w:rPr>
        <w:t>）磋商响应声明</w:t>
      </w:r>
    </w:p>
    <w:p>
      <w:pPr>
        <w:pStyle w:val="11"/>
        <w:adjustRightInd w:val="0"/>
        <w:snapToGrid w:val="0"/>
        <w:spacing w:line="360" w:lineRule="auto"/>
        <w:ind w:firstLine="420" w:firstLineChars="200"/>
        <w:rPr>
          <w:rFonts w:hAnsi="宋体"/>
          <w:highlight w:val="none"/>
        </w:rPr>
      </w:pPr>
      <w:r>
        <w:rPr>
          <w:rFonts w:hint="eastAsia" w:hAnsi="宋体"/>
          <w:highlight w:val="none"/>
        </w:rPr>
        <w:t>（</w:t>
      </w:r>
      <w:r>
        <w:rPr>
          <w:rFonts w:hAnsi="宋体"/>
          <w:highlight w:val="none"/>
        </w:rPr>
        <w:t>2</w:t>
      </w:r>
      <w:r>
        <w:rPr>
          <w:rFonts w:hint="eastAsia" w:hAnsi="宋体"/>
          <w:highlight w:val="none"/>
        </w:rPr>
        <w:t>）保证金</w:t>
      </w:r>
    </w:p>
    <w:p>
      <w:pPr>
        <w:pStyle w:val="11"/>
        <w:adjustRightInd w:val="0"/>
        <w:snapToGrid w:val="0"/>
        <w:spacing w:line="360" w:lineRule="auto"/>
        <w:ind w:firstLine="420" w:firstLineChars="200"/>
        <w:rPr>
          <w:rFonts w:hAnsi="宋体"/>
          <w:highlight w:val="none"/>
        </w:rPr>
      </w:pPr>
      <w:r>
        <w:rPr>
          <w:rFonts w:hint="eastAsia" w:hAnsi="宋体"/>
          <w:highlight w:val="none"/>
        </w:rPr>
        <w:t>（</w:t>
      </w:r>
      <w:r>
        <w:rPr>
          <w:rFonts w:hAnsi="宋体"/>
          <w:highlight w:val="none"/>
        </w:rPr>
        <w:t>3</w:t>
      </w:r>
      <w:r>
        <w:rPr>
          <w:rFonts w:hint="eastAsia" w:hAnsi="宋体"/>
          <w:highlight w:val="none"/>
        </w:rPr>
        <w:t>）联合体协议</w:t>
      </w:r>
    </w:p>
    <w:p>
      <w:pPr>
        <w:pStyle w:val="11"/>
        <w:adjustRightInd w:val="0"/>
        <w:snapToGrid w:val="0"/>
        <w:spacing w:line="360" w:lineRule="auto"/>
        <w:ind w:firstLine="420" w:firstLineChars="200"/>
        <w:rPr>
          <w:rFonts w:hAnsi="宋体"/>
          <w:highlight w:val="none"/>
        </w:rPr>
      </w:pPr>
      <w:r>
        <w:rPr>
          <w:rFonts w:hint="eastAsia" w:hAnsi="宋体"/>
          <w:highlight w:val="none"/>
        </w:rPr>
        <w:t>（</w:t>
      </w:r>
      <w:r>
        <w:rPr>
          <w:rFonts w:hAnsi="宋体"/>
          <w:highlight w:val="none"/>
        </w:rPr>
        <w:t>4</w:t>
      </w:r>
      <w:r>
        <w:rPr>
          <w:rFonts w:hint="eastAsia" w:hAnsi="宋体"/>
          <w:highlight w:val="none"/>
        </w:rPr>
        <w:t>）供应商的资格证明文件</w:t>
      </w:r>
    </w:p>
    <w:p>
      <w:pPr>
        <w:pStyle w:val="11"/>
        <w:adjustRightInd w:val="0"/>
        <w:snapToGrid w:val="0"/>
        <w:spacing w:line="360" w:lineRule="auto"/>
        <w:ind w:firstLine="420" w:firstLineChars="200"/>
        <w:rPr>
          <w:rFonts w:hAnsi="宋体"/>
          <w:highlight w:val="none"/>
        </w:rPr>
      </w:pPr>
      <w:r>
        <w:rPr>
          <w:rFonts w:hint="eastAsia" w:hAnsi="宋体"/>
          <w:highlight w:val="none"/>
        </w:rPr>
        <w:t>（</w:t>
      </w:r>
      <w:r>
        <w:rPr>
          <w:rFonts w:hAnsi="宋体"/>
          <w:highlight w:val="none"/>
        </w:rPr>
        <w:t>5</w:t>
      </w:r>
      <w:r>
        <w:rPr>
          <w:rFonts w:hint="eastAsia" w:hAnsi="宋体"/>
          <w:highlight w:val="none"/>
        </w:rPr>
        <w:t>）货物或服务方案说明</w:t>
      </w:r>
    </w:p>
    <w:p>
      <w:pPr>
        <w:pStyle w:val="11"/>
        <w:adjustRightInd w:val="0"/>
        <w:snapToGrid w:val="0"/>
        <w:spacing w:line="360" w:lineRule="auto"/>
        <w:ind w:firstLine="420" w:firstLineChars="200"/>
        <w:rPr>
          <w:rFonts w:hAnsi="宋体"/>
          <w:highlight w:val="none"/>
        </w:rPr>
      </w:pPr>
      <w:r>
        <w:rPr>
          <w:rFonts w:hint="eastAsia" w:hAnsi="宋体"/>
          <w:highlight w:val="none"/>
        </w:rPr>
        <w:t>（</w:t>
      </w:r>
      <w:r>
        <w:rPr>
          <w:rFonts w:hAnsi="宋体"/>
          <w:highlight w:val="none"/>
        </w:rPr>
        <w:t>6</w:t>
      </w:r>
      <w:r>
        <w:rPr>
          <w:rFonts w:hint="eastAsia" w:hAnsi="宋体"/>
          <w:highlight w:val="none"/>
        </w:rPr>
        <w:t>）技术</w:t>
      </w:r>
      <w:r>
        <w:rPr>
          <w:rFonts w:hAnsi="宋体"/>
          <w:highlight w:val="none"/>
        </w:rPr>
        <w:t>/</w:t>
      </w:r>
      <w:r>
        <w:rPr>
          <w:rFonts w:hint="eastAsia" w:hAnsi="宋体"/>
          <w:highlight w:val="none"/>
        </w:rPr>
        <w:t>商务响应与偏离表</w:t>
      </w:r>
    </w:p>
    <w:p>
      <w:pPr>
        <w:pStyle w:val="11"/>
        <w:adjustRightInd w:val="0"/>
        <w:snapToGrid w:val="0"/>
        <w:spacing w:line="360" w:lineRule="auto"/>
        <w:ind w:firstLine="420" w:firstLineChars="200"/>
        <w:rPr>
          <w:rFonts w:hAnsi="宋体"/>
          <w:highlight w:val="none"/>
        </w:rPr>
      </w:pPr>
      <w:r>
        <w:rPr>
          <w:rFonts w:hint="eastAsia" w:hAnsi="宋体"/>
          <w:highlight w:val="none"/>
        </w:rPr>
        <w:t>（</w:t>
      </w:r>
      <w:r>
        <w:rPr>
          <w:rFonts w:hAnsi="宋体"/>
          <w:highlight w:val="none"/>
        </w:rPr>
        <w:t>7</w:t>
      </w:r>
      <w:r>
        <w:rPr>
          <w:rFonts w:hint="eastAsia" w:hAnsi="宋体"/>
          <w:highlight w:val="none"/>
        </w:rPr>
        <w:t>）提供享受政府采购政策的证明材料和清单表</w:t>
      </w:r>
    </w:p>
    <w:p>
      <w:pPr>
        <w:pStyle w:val="11"/>
        <w:adjustRightInd w:val="0"/>
        <w:snapToGrid w:val="0"/>
        <w:spacing w:line="360" w:lineRule="auto"/>
        <w:ind w:firstLine="420" w:firstLineChars="200"/>
        <w:rPr>
          <w:rFonts w:hAnsi="宋体"/>
          <w:highlight w:val="none"/>
        </w:rPr>
      </w:pPr>
      <w:r>
        <w:rPr>
          <w:rFonts w:hint="eastAsia" w:hAnsi="宋体"/>
          <w:highlight w:val="none"/>
        </w:rPr>
        <w:t>（</w:t>
      </w:r>
      <w:r>
        <w:rPr>
          <w:rFonts w:hAnsi="宋体"/>
          <w:highlight w:val="none"/>
        </w:rPr>
        <w:t>8</w:t>
      </w:r>
      <w:r>
        <w:rPr>
          <w:rFonts w:hint="eastAsia" w:hAnsi="宋体"/>
          <w:highlight w:val="none"/>
        </w:rPr>
        <w:t>）经销或代理或为货物提供售后服务的证明材料</w:t>
      </w:r>
    </w:p>
    <w:p>
      <w:pPr>
        <w:pStyle w:val="11"/>
        <w:adjustRightInd w:val="0"/>
        <w:snapToGrid w:val="0"/>
        <w:spacing w:line="360" w:lineRule="auto"/>
        <w:ind w:firstLine="420" w:firstLineChars="200"/>
        <w:rPr>
          <w:rFonts w:hAnsi="宋体"/>
          <w:highlight w:val="none"/>
        </w:rPr>
      </w:pPr>
      <w:r>
        <w:rPr>
          <w:rFonts w:hint="eastAsia" w:hAnsi="宋体"/>
          <w:highlight w:val="none"/>
        </w:rPr>
        <w:t>（</w:t>
      </w:r>
      <w:r>
        <w:rPr>
          <w:rFonts w:hAnsi="宋体"/>
          <w:highlight w:val="none"/>
        </w:rPr>
        <w:t>9</w:t>
      </w:r>
      <w:r>
        <w:rPr>
          <w:rFonts w:hint="eastAsia" w:hAnsi="宋体"/>
          <w:highlight w:val="none"/>
        </w:rPr>
        <w:t>）报价一览表及报价文件</w:t>
      </w:r>
    </w:p>
    <w:p>
      <w:pPr>
        <w:pStyle w:val="11"/>
        <w:adjustRightInd w:val="0"/>
        <w:snapToGrid w:val="0"/>
        <w:spacing w:line="360" w:lineRule="auto"/>
        <w:ind w:firstLine="420" w:firstLineChars="200"/>
        <w:rPr>
          <w:rFonts w:hAnsi="宋体"/>
          <w:highlight w:val="none"/>
        </w:rPr>
      </w:pPr>
      <w:r>
        <w:rPr>
          <w:rFonts w:hint="eastAsia" w:hAnsi="宋体"/>
          <w:highlight w:val="none"/>
        </w:rPr>
        <w:t>（</w:t>
      </w:r>
      <w:r>
        <w:rPr>
          <w:rFonts w:hAnsi="宋体"/>
          <w:highlight w:val="none"/>
        </w:rPr>
        <w:t>10</w:t>
      </w:r>
      <w:r>
        <w:rPr>
          <w:rFonts w:hint="eastAsia" w:hAnsi="宋体"/>
          <w:highlight w:val="none"/>
        </w:rPr>
        <w:t>）供应商认为需提供的其他资料</w:t>
      </w:r>
    </w:p>
    <w:p>
      <w:pPr>
        <w:adjustRightInd w:val="0"/>
        <w:snapToGrid w:val="0"/>
        <w:spacing w:line="360" w:lineRule="auto"/>
        <w:ind w:firstLine="420" w:firstLineChars="200"/>
        <w:rPr>
          <w:rFonts w:hAnsi="宋体"/>
          <w:highlight w:val="none"/>
        </w:rPr>
      </w:pPr>
      <w:r>
        <w:rPr>
          <w:rFonts w:ascii="宋体" w:hAnsi="宋体"/>
          <w:highlight w:val="none"/>
        </w:rPr>
        <w:t>15.2</w:t>
      </w:r>
      <w:r>
        <w:rPr>
          <w:rFonts w:hint="eastAsia" w:ascii="宋体" w:hAnsi="宋体"/>
          <w:highlight w:val="none"/>
        </w:rPr>
        <w:t>在磋商过程中，供应商根据</w:t>
      </w:r>
      <w:r>
        <w:rPr>
          <w:rFonts w:hint="eastAsia" w:ascii="宋体" w:hAnsi="宋体" w:cs="宋体"/>
          <w:kern w:val="0"/>
          <w:highlight w:val="none"/>
        </w:rPr>
        <w:t>磋商小组</w:t>
      </w:r>
      <w:r>
        <w:rPr>
          <w:rFonts w:hint="eastAsia" w:ascii="宋体" w:hAnsi="宋体"/>
          <w:bCs/>
          <w:highlight w:val="none"/>
        </w:rPr>
        <w:t>书面形式要求</w:t>
      </w:r>
      <w:r>
        <w:rPr>
          <w:rFonts w:hint="eastAsia" w:ascii="宋体" w:hAnsi="宋体" w:cs="宋体"/>
          <w:kern w:val="0"/>
          <w:highlight w:val="none"/>
        </w:rPr>
        <w:t>提交的</w:t>
      </w:r>
      <w:r>
        <w:rPr>
          <w:rFonts w:hint="eastAsia" w:hAnsi="宋体"/>
          <w:highlight w:val="none"/>
        </w:rPr>
        <w:t>最后报价</w:t>
      </w:r>
      <w:r>
        <w:rPr>
          <w:rFonts w:hAnsi="宋体"/>
          <w:highlight w:val="none"/>
        </w:rPr>
        <w:t>(</w:t>
      </w:r>
      <w:r>
        <w:rPr>
          <w:rFonts w:hint="eastAsia" w:hAnsi="宋体"/>
          <w:highlight w:val="none"/>
        </w:rPr>
        <w:t>或者</w:t>
      </w:r>
      <w:r>
        <w:rPr>
          <w:rFonts w:hint="eastAsia" w:ascii="宋体" w:hAnsi="宋体"/>
          <w:bCs/>
          <w:highlight w:val="none"/>
        </w:rPr>
        <w:t>重</w:t>
      </w:r>
      <w:r>
        <w:rPr>
          <w:rFonts w:hint="eastAsia" w:ascii="宋体" w:hAnsi="宋体" w:cs="宋体"/>
          <w:kern w:val="0"/>
          <w:highlight w:val="none"/>
        </w:rPr>
        <w:t>新提交的响应文件和</w:t>
      </w:r>
      <w:r>
        <w:rPr>
          <w:rFonts w:hint="eastAsia" w:hAnsi="宋体"/>
          <w:highlight w:val="none"/>
        </w:rPr>
        <w:t>最后报价</w:t>
      </w:r>
      <w:r>
        <w:rPr>
          <w:rFonts w:hAnsi="宋体"/>
          <w:highlight w:val="none"/>
        </w:rPr>
        <w:t>)</w:t>
      </w:r>
      <w:r>
        <w:rPr>
          <w:rFonts w:hint="eastAsia" w:hAnsi="宋体"/>
          <w:highlight w:val="none"/>
        </w:rPr>
        <w:t>是</w:t>
      </w:r>
      <w:r>
        <w:rPr>
          <w:rFonts w:hint="eastAsia" w:ascii="宋体" w:hAnsi="宋体"/>
          <w:highlight w:val="none"/>
        </w:rPr>
        <w:t>响应文件</w:t>
      </w:r>
      <w:r>
        <w:rPr>
          <w:rFonts w:hint="eastAsia" w:hAnsi="宋体"/>
          <w:highlight w:val="none"/>
        </w:rPr>
        <w:t>的有效组成部分。</w:t>
      </w:r>
    </w:p>
    <w:p>
      <w:pPr>
        <w:adjustRightInd w:val="0"/>
        <w:snapToGrid w:val="0"/>
        <w:spacing w:line="360" w:lineRule="auto"/>
        <w:ind w:firstLine="420" w:firstLineChars="200"/>
        <w:rPr>
          <w:rFonts w:hAnsi="宋体"/>
          <w:b/>
          <w:highlight w:val="none"/>
        </w:rPr>
      </w:pPr>
      <w:r>
        <w:rPr>
          <w:rFonts w:ascii="宋体" w:hAnsi="宋体"/>
          <w:highlight w:val="none"/>
        </w:rPr>
        <w:t>15.3</w:t>
      </w:r>
      <w:r>
        <w:rPr>
          <w:rFonts w:hint="eastAsia" w:ascii="宋体" w:hAnsi="宋体" w:cs="宋体"/>
          <w:kern w:val="0"/>
          <w:highlight w:val="none"/>
        </w:rPr>
        <w:t>磋商文件规定可能发生实质性变动的，供应商应当在</w:t>
      </w:r>
      <w:r>
        <w:rPr>
          <w:rFonts w:hint="eastAsia" w:hAnsi="宋体"/>
          <w:highlight w:val="none"/>
        </w:rPr>
        <w:t>《技术</w:t>
      </w:r>
      <w:r>
        <w:rPr>
          <w:rFonts w:hAnsi="宋体"/>
          <w:highlight w:val="none"/>
        </w:rPr>
        <w:t>/</w:t>
      </w:r>
      <w:r>
        <w:rPr>
          <w:rFonts w:hint="eastAsia" w:hAnsi="宋体"/>
          <w:highlight w:val="none"/>
        </w:rPr>
        <w:t>商务响应与偏离表》中对应内容注明。</w:t>
      </w:r>
    </w:p>
    <w:p>
      <w:pPr>
        <w:adjustRightInd w:val="0"/>
        <w:snapToGrid w:val="0"/>
        <w:spacing w:line="360" w:lineRule="auto"/>
        <w:ind w:firstLine="420" w:firstLineChars="200"/>
        <w:rPr>
          <w:rFonts w:ascii="宋体"/>
          <w:highlight w:val="none"/>
        </w:rPr>
      </w:pPr>
      <w:r>
        <w:rPr>
          <w:rFonts w:ascii="宋体" w:hAnsi="宋体"/>
          <w:highlight w:val="none"/>
        </w:rPr>
        <w:t>15.4</w:t>
      </w:r>
      <w:r>
        <w:rPr>
          <w:rFonts w:hint="eastAsia" w:ascii="宋体" w:hAnsi="宋体"/>
          <w:highlight w:val="none"/>
        </w:rPr>
        <w:t>根据《政府采购法》第四十二条的规定，供应商无论成交与否，其响应文件不予退还。</w:t>
      </w:r>
    </w:p>
    <w:p>
      <w:pPr>
        <w:adjustRightInd w:val="0"/>
        <w:snapToGrid w:val="0"/>
        <w:spacing w:line="360" w:lineRule="auto"/>
        <w:rPr>
          <w:rFonts w:ascii="宋体"/>
          <w:b/>
          <w:bCs/>
          <w:highlight w:val="none"/>
        </w:rPr>
      </w:pPr>
      <w:r>
        <w:rPr>
          <w:rFonts w:ascii="宋体" w:hAnsi="宋体"/>
          <w:b/>
          <w:bCs/>
          <w:highlight w:val="none"/>
        </w:rPr>
        <w:t>16.</w:t>
      </w:r>
      <w:r>
        <w:rPr>
          <w:rFonts w:hint="eastAsia" w:ascii="宋体" w:hAnsi="宋体"/>
          <w:b/>
          <w:bCs/>
          <w:highlight w:val="none"/>
        </w:rPr>
        <w:t>报价</w:t>
      </w:r>
    </w:p>
    <w:p>
      <w:pPr>
        <w:adjustRightInd w:val="0"/>
        <w:snapToGrid w:val="0"/>
        <w:spacing w:line="360" w:lineRule="auto"/>
        <w:ind w:firstLine="420" w:firstLineChars="200"/>
        <w:rPr>
          <w:rFonts w:ascii="宋体"/>
          <w:highlight w:val="none"/>
        </w:rPr>
      </w:pPr>
      <w:r>
        <w:rPr>
          <w:rFonts w:ascii="宋体" w:hAnsi="宋体"/>
          <w:highlight w:val="none"/>
        </w:rPr>
        <w:t>16.1</w:t>
      </w:r>
      <w:r>
        <w:rPr>
          <w:rFonts w:hint="eastAsia" w:ascii="宋体" w:hAnsi="宋体"/>
          <w:highlight w:val="none"/>
        </w:rPr>
        <w:t>供应商应当根据磋商文件要求和范围，以</w:t>
      </w:r>
      <w:r>
        <w:rPr>
          <w:rFonts w:hint="eastAsia" w:ascii="宋体" w:hAnsi="宋体"/>
          <w:bCs/>
          <w:highlight w:val="none"/>
        </w:rPr>
        <w:t>人民币</w:t>
      </w:r>
      <w:r>
        <w:rPr>
          <w:rFonts w:hint="eastAsia" w:ascii="宋体" w:hAnsi="宋体"/>
          <w:highlight w:val="none"/>
        </w:rPr>
        <w:t>报价，以元为单位，保留小数点后两位。</w:t>
      </w:r>
    </w:p>
    <w:p>
      <w:pPr>
        <w:pStyle w:val="40"/>
        <w:adjustRightInd w:val="0"/>
        <w:snapToGrid w:val="0"/>
        <w:spacing w:line="360" w:lineRule="auto"/>
        <w:ind w:firstLine="420" w:firstLineChars="200"/>
        <w:rPr>
          <w:rFonts w:ascii="宋体"/>
          <w:highlight w:val="none"/>
        </w:rPr>
      </w:pPr>
      <w:r>
        <w:rPr>
          <w:rFonts w:ascii="宋体" w:hAnsi="宋体"/>
          <w:highlight w:val="none"/>
        </w:rPr>
        <w:t>16.2</w:t>
      </w:r>
      <w:r>
        <w:rPr>
          <w:rFonts w:hint="eastAsia" w:ascii="宋体" w:hAnsi="宋体"/>
          <w:highlight w:val="none"/>
        </w:rPr>
        <w:t>供应商应按第五章</w:t>
      </w:r>
      <w:r>
        <w:rPr>
          <w:rFonts w:ascii="宋体" w:hAnsi="宋体"/>
          <w:highlight w:val="none"/>
        </w:rPr>
        <w:t xml:space="preserve"> </w:t>
      </w:r>
      <w:r>
        <w:rPr>
          <w:rFonts w:hint="eastAsia" w:ascii="宋体" w:hAnsi="宋体"/>
          <w:highlight w:val="none"/>
        </w:rPr>
        <w:t>响应文件组成格式填写。</w:t>
      </w:r>
    </w:p>
    <w:p>
      <w:pPr>
        <w:pStyle w:val="11"/>
        <w:adjustRightInd w:val="0"/>
        <w:snapToGrid w:val="0"/>
        <w:spacing w:line="360" w:lineRule="auto"/>
        <w:ind w:firstLine="420" w:firstLineChars="200"/>
        <w:rPr>
          <w:rFonts w:hAnsi="宋体"/>
          <w:highlight w:val="none"/>
        </w:rPr>
      </w:pPr>
      <w:r>
        <w:rPr>
          <w:rFonts w:hAnsi="宋体"/>
          <w:highlight w:val="none"/>
        </w:rPr>
        <w:t>16.3</w:t>
      </w:r>
      <w:r>
        <w:rPr>
          <w:rFonts w:hint="eastAsia" w:hAnsi="宋体"/>
          <w:highlight w:val="none"/>
        </w:rPr>
        <w:t>响应文件中标明的价格在合同执行过程中是固定不变的，不得以任何理由予以变更。以可变动价格提交的报价将被认为是非实质响应而被拒绝。</w:t>
      </w:r>
    </w:p>
    <w:p>
      <w:pPr>
        <w:pStyle w:val="11"/>
        <w:adjustRightInd w:val="0"/>
        <w:snapToGrid w:val="0"/>
        <w:spacing w:line="360" w:lineRule="auto"/>
        <w:ind w:firstLine="420" w:firstLineChars="200"/>
        <w:rPr>
          <w:rFonts w:hAnsi="宋体"/>
          <w:highlight w:val="none"/>
        </w:rPr>
      </w:pPr>
      <w:r>
        <w:rPr>
          <w:rFonts w:hAnsi="宋体"/>
          <w:highlight w:val="none"/>
        </w:rPr>
        <w:t>16.4</w:t>
      </w:r>
      <w:r>
        <w:rPr>
          <w:rFonts w:hint="eastAsia" w:hAnsi="宋体"/>
          <w:kern w:val="0"/>
          <w:highlight w:val="none"/>
          <w:lang w:val="zh-CN"/>
        </w:rPr>
        <w:t>供应商</w:t>
      </w:r>
      <w:r>
        <w:rPr>
          <w:rFonts w:hint="eastAsia" w:hAnsi="宋体"/>
          <w:highlight w:val="none"/>
        </w:rPr>
        <w:t>的报价不得超过采购项目预算，采购项目预算或其计算方法见</w:t>
      </w:r>
      <w:r>
        <w:rPr>
          <w:rFonts w:hint="eastAsia" w:hAnsi="宋体"/>
          <w:b/>
          <w:highlight w:val="none"/>
        </w:rPr>
        <w:t>磋商须知前附表</w:t>
      </w:r>
      <w:r>
        <w:rPr>
          <w:rFonts w:hint="eastAsia" w:hAnsi="宋体"/>
          <w:highlight w:val="none"/>
        </w:rPr>
        <w:t>。</w:t>
      </w:r>
    </w:p>
    <w:p>
      <w:pPr>
        <w:pStyle w:val="11"/>
        <w:adjustRightInd w:val="0"/>
        <w:snapToGrid w:val="0"/>
        <w:spacing w:line="360" w:lineRule="auto"/>
        <w:rPr>
          <w:b/>
          <w:highlight w:val="none"/>
        </w:rPr>
      </w:pPr>
      <w:r>
        <w:rPr>
          <w:b/>
          <w:highlight w:val="none"/>
        </w:rPr>
        <w:t>17.</w:t>
      </w:r>
      <w:r>
        <w:rPr>
          <w:rFonts w:hint="eastAsia"/>
          <w:b/>
          <w:highlight w:val="none"/>
        </w:rPr>
        <w:t>供应商符合磋商文件规定的证明文件</w:t>
      </w:r>
    </w:p>
    <w:p>
      <w:pPr>
        <w:adjustRightInd w:val="0"/>
        <w:snapToGrid w:val="0"/>
        <w:spacing w:line="360" w:lineRule="auto"/>
        <w:ind w:firstLine="420" w:firstLineChars="200"/>
        <w:jc w:val="left"/>
        <w:rPr>
          <w:rFonts w:ascii="宋体"/>
          <w:highlight w:val="none"/>
        </w:rPr>
      </w:pPr>
      <w:r>
        <w:rPr>
          <w:rFonts w:ascii="宋体" w:hAnsi="宋体"/>
          <w:highlight w:val="none"/>
        </w:rPr>
        <w:t>17.1</w:t>
      </w:r>
      <w:r>
        <w:rPr>
          <w:rFonts w:hint="eastAsia" w:ascii="宋体" w:hAnsi="宋体"/>
          <w:highlight w:val="none"/>
        </w:rPr>
        <w:t>供应商应提交满足本章第</w:t>
      </w:r>
      <w:r>
        <w:rPr>
          <w:rFonts w:ascii="宋体" w:hAnsi="宋体"/>
          <w:highlight w:val="none"/>
        </w:rPr>
        <w:t>3.1</w:t>
      </w:r>
      <w:r>
        <w:rPr>
          <w:rFonts w:hint="eastAsia" w:ascii="宋体" w:hAnsi="宋体"/>
          <w:highlight w:val="none"/>
        </w:rPr>
        <w:t>款规定的资格条件要求的证明文件</w:t>
      </w:r>
      <w:r>
        <w:rPr>
          <w:rFonts w:ascii="宋体"/>
          <w:highlight w:val="none"/>
        </w:rPr>
        <w:t>,</w:t>
      </w:r>
      <w:r>
        <w:rPr>
          <w:rFonts w:hint="eastAsia" w:ascii="宋体" w:hAnsi="宋体"/>
          <w:highlight w:val="none"/>
        </w:rPr>
        <w:t>该证明文件作为响应文件的一部分。</w:t>
      </w:r>
    </w:p>
    <w:p>
      <w:pPr>
        <w:adjustRightInd w:val="0"/>
        <w:snapToGrid w:val="0"/>
        <w:spacing w:line="360" w:lineRule="auto"/>
        <w:ind w:firstLine="420" w:firstLineChars="200"/>
        <w:jc w:val="left"/>
        <w:rPr>
          <w:rFonts w:ascii="宋体"/>
          <w:highlight w:val="none"/>
        </w:rPr>
      </w:pPr>
      <w:r>
        <w:rPr>
          <w:rFonts w:ascii="宋体" w:hAnsi="宋体"/>
          <w:highlight w:val="none"/>
        </w:rPr>
        <w:t>17.2</w:t>
      </w:r>
      <w:r>
        <w:rPr>
          <w:rFonts w:hint="eastAsia" w:ascii="宋体" w:hAnsi="宋体"/>
          <w:highlight w:val="none"/>
        </w:rPr>
        <w:t>如果供应商为联合体，则应提交联合体各方资格证明文件、联合体协议。否则，在评审时将其视为无效响应。</w:t>
      </w:r>
    </w:p>
    <w:p>
      <w:pPr>
        <w:adjustRightInd w:val="0"/>
        <w:snapToGrid w:val="0"/>
        <w:spacing w:before="156" w:beforeLines="50" w:line="360" w:lineRule="auto"/>
        <w:ind w:firstLine="420" w:firstLineChars="200"/>
        <w:jc w:val="left"/>
        <w:rPr>
          <w:rFonts w:ascii="宋体"/>
          <w:highlight w:val="none"/>
        </w:rPr>
      </w:pPr>
      <w:r>
        <w:rPr>
          <w:rFonts w:ascii="宋体" w:hAnsi="宋体"/>
          <w:highlight w:val="none"/>
        </w:rPr>
        <w:t xml:space="preserve">17.3 </w:t>
      </w:r>
      <w:r>
        <w:rPr>
          <w:rFonts w:hint="eastAsia" w:ascii="宋体" w:hAnsi="宋体"/>
          <w:highlight w:val="none"/>
        </w:rPr>
        <w:t>除</w:t>
      </w:r>
      <w:r>
        <w:rPr>
          <w:rFonts w:hint="eastAsia" w:ascii="宋体" w:hAnsi="宋体"/>
          <w:b/>
          <w:highlight w:val="none"/>
        </w:rPr>
        <w:t>磋商须知前附表</w:t>
      </w:r>
      <w:r>
        <w:rPr>
          <w:rFonts w:hint="eastAsia" w:ascii="宋体" w:hAnsi="宋体"/>
          <w:highlight w:val="none"/>
        </w:rPr>
        <w:t>另有规定外，供应商提供的货物及服务不是供应商制造或拥有的，则必须提供经销、或代理采购货物、或采购货物提供售后服务的证明文件。</w:t>
      </w:r>
    </w:p>
    <w:p>
      <w:pPr>
        <w:adjustRightInd w:val="0"/>
        <w:snapToGrid w:val="0"/>
        <w:spacing w:before="156" w:beforeLines="50" w:line="360" w:lineRule="auto"/>
        <w:jc w:val="left"/>
        <w:rPr>
          <w:rFonts w:ascii="宋体"/>
          <w:b/>
          <w:highlight w:val="none"/>
        </w:rPr>
      </w:pPr>
      <w:r>
        <w:rPr>
          <w:rFonts w:ascii="宋体" w:hAnsi="宋体"/>
          <w:b/>
          <w:highlight w:val="none"/>
        </w:rPr>
        <w:t>18</w:t>
      </w:r>
      <w:r>
        <w:rPr>
          <w:rFonts w:hint="eastAsia" w:ascii="宋体" w:hAnsi="宋体"/>
          <w:b/>
          <w:highlight w:val="none"/>
        </w:rPr>
        <w:t>．样品提供</w:t>
      </w:r>
    </w:p>
    <w:p>
      <w:pPr>
        <w:adjustRightInd w:val="0"/>
        <w:snapToGrid w:val="0"/>
        <w:spacing w:before="156" w:beforeLines="50" w:line="360" w:lineRule="auto"/>
        <w:ind w:firstLine="420" w:firstLineChars="200"/>
        <w:jc w:val="left"/>
        <w:rPr>
          <w:rFonts w:ascii="宋体"/>
          <w:highlight w:val="none"/>
        </w:rPr>
      </w:pPr>
      <w:r>
        <w:rPr>
          <w:rFonts w:ascii="宋体" w:hAnsi="宋体"/>
          <w:highlight w:val="none"/>
        </w:rPr>
        <w:t xml:space="preserve">18.1 </w:t>
      </w:r>
      <w:r>
        <w:rPr>
          <w:rFonts w:hint="eastAsia" w:ascii="宋体" w:hAnsi="宋体"/>
          <w:b/>
          <w:highlight w:val="none"/>
        </w:rPr>
        <w:t>磋商须知前附表</w:t>
      </w:r>
      <w:r>
        <w:rPr>
          <w:rFonts w:hint="eastAsia" w:ascii="宋体" w:hAnsi="宋体"/>
          <w:highlight w:val="none"/>
        </w:rPr>
        <w:t>规定</w:t>
      </w:r>
      <w:r>
        <w:rPr>
          <w:rFonts w:hint="eastAsia" w:ascii="宋体" w:hAnsi="宋体"/>
          <w:bCs/>
          <w:highlight w:val="none"/>
        </w:rPr>
        <w:t>供应商</w:t>
      </w:r>
      <w:r>
        <w:rPr>
          <w:rFonts w:hint="eastAsia" w:ascii="宋体" w:hAnsi="宋体"/>
          <w:highlight w:val="none"/>
        </w:rPr>
        <w:t>在磋商时提供样品的，</w:t>
      </w:r>
      <w:r>
        <w:rPr>
          <w:rFonts w:hint="eastAsia" w:ascii="宋体" w:hAnsi="宋体"/>
          <w:bCs/>
          <w:highlight w:val="none"/>
        </w:rPr>
        <w:t>供应商</w:t>
      </w:r>
      <w:r>
        <w:rPr>
          <w:rFonts w:hint="eastAsia" w:ascii="宋体" w:hAnsi="宋体"/>
          <w:highlight w:val="none"/>
        </w:rPr>
        <w:t>有以下情形之一的，在评审时将其视为无效响应。</w:t>
      </w:r>
    </w:p>
    <w:p>
      <w:pPr>
        <w:adjustRightInd w:val="0"/>
        <w:snapToGrid w:val="0"/>
        <w:spacing w:before="156" w:beforeLines="50" w:line="360" w:lineRule="auto"/>
        <w:ind w:firstLine="420" w:firstLineChars="200"/>
        <w:jc w:val="left"/>
        <w:rPr>
          <w:rFonts w:ascii="宋体"/>
          <w:highlight w:val="none"/>
        </w:rPr>
      </w:pPr>
      <w:r>
        <w:rPr>
          <w:rFonts w:hint="eastAsia" w:ascii="宋体" w:hAnsi="宋体"/>
          <w:highlight w:val="none"/>
        </w:rPr>
        <w:t>（</w:t>
      </w:r>
      <w:r>
        <w:rPr>
          <w:rFonts w:ascii="宋体" w:hAnsi="宋体"/>
          <w:highlight w:val="none"/>
        </w:rPr>
        <w:t>1</w:t>
      </w:r>
      <w:r>
        <w:rPr>
          <w:rFonts w:hint="eastAsia" w:ascii="宋体" w:hAnsi="宋体"/>
          <w:highlight w:val="none"/>
        </w:rPr>
        <w:t>）未在</w:t>
      </w:r>
      <w:r>
        <w:rPr>
          <w:rFonts w:hint="eastAsia" w:ascii="宋体" w:hAnsi="宋体"/>
          <w:b/>
          <w:highlight w:val="none"/>
        </w:rPr>
        <w:t>磋商须知前附表</w:t>
      </w:r>
      <w:r>
        <w:rPr>
          <w:rFonts w:hint="eastAsia" w:ascii="宋体" w:hAnsi="宋体"/>
          <w:highlight w:val="none"/>
        </w:rPr>
        <w:t>规定的提交时间、地点提交的；</w:t>
      </w:r>
    </w:p>
    <w:p>
      <w:pPr>
        <w:adjustRightInd w:val="0"/>
        <w:snapToGrid w:val="0"/>
        <w:spacing w:before="156" w:beforeLines="50" w:line="360" w:lineRule="auto"/>
        <w:ind w:firstLine="420" w:firstLineChars="200"/>
        <w:jc w:val="left"/>
        <w:rPr>
          <w:rFonts w:ascii="宋体"/>
          <w:highlight w:val="none"/>
        </w:rPr>
      </w:pPr>
      <w:r>
        <w:rPr>
          <w:rFonts w:hint="eastAsia" w:ascii="宋体" w:hAnsi="宋体"/>
          <w:highlight w:val="none"/>
        </w:rPr>
        <w:t>（</w:t>
      </w:r>
      <w:r>
        <w:rPr>
          <w:rFonts w:ascii="宋体" w:hAnsi="宋体"/>
          <w:highlight w:val="none"/>
        </w:rPr>
        <w:t>2</w:t>
      </w:r>
      <w:r>
        <w:rPr>
          <w:rFonts w:hint="eastAsia" w:ascii="宋体" w:hAnsi="宋体"/>
          <w:highlight w:val="none"/>
        </w:rPr>
        <w:t>）</w:t>
      </w:r>
      <w:r>
        <w:rPr>
          <w:rFonts w:hint="eastAsia" w:ascii="宋体" w:hAnsi="宋体"/>
          <w:bCs/>
          <w:highlight w:val="none"/>
        </w:rPr>
        <w:t>供应商</w:t>
      </w:r>
      <w:r>
        <w:rPr>
          <w:rFonts w:hint="eastAsia" w:ascii="宋体" w:hAnsi="宋体"/>
          <w:highlight w:val="none"/>
        </w:rPr>
        <w:t>提供的样品与响应文件中提供样品的型号、规格不一致的。</w:t>
      </w:r>
    </w:p>
    <w:p>
      <w:pPr>
        <w:adjustRightInd w:val="0"/>
        <w:snapToGrid w:val="0"/>
        <w:spacing w:line="360" w:lineRule="auto"/>
        <w:rPr>
          <w:rFonts w:ascii="宋体"/>
          <w:b/>
          <w:bCs/>
          <w:highlight w:val="none"/>
        </w:rPr>
      </w:pPr>
      <w:r>
        <w:rPr>
          <w:rFonts w:ascii="宋体" w:hAnsi="宋体"/>
          <w:b/>
          <w:bCs/>
          <w:highlight w:val="none"/>
        </w:rPr>
        <w:t>19.</w:t>
      </w:r>
      <w:r>
        <w:rPr>
          <w:rFonts w:hint="eastAsia" w:ascii="宋体" w:hAnsi="宋体"/>
          <w:b/>
          <w:bCs/>
          <w:highlight w:val="none"/>
        </w:rPr>
        <w:t>磋商保证金</w:t>
      </w:r>
    </w:p>
    <w:p>
      <w:pPr>
        <w:pStyle w:val="11"/>
        <w:adjustRightInd w:val="0"/>
        <w:snapToGrid w:val="0"/>
        <w:spacing w:line="360" w:lineRule="auto"/>
        <w:ind w:firstLine="420" w:firstLineChars="200"/>
        <w:rPr>
          <w:rFonts w:hAnsi="宋体"/>
          <w:bCs/>
          <w:highlight w:val="none"/>
        </w:rPr>
      </w:pPr>
      <w:r>
        <w:rPr>
          <w:rFonts w:hAnsi="宋体"/>
          <w:highlight w:val="none"/>
        </w:rPr>
        <w:t>19.1</w:t>
      </w:r>
      <w:r>
        <w:rPr>
          <w:rFonts w:hint="eastAsia" w:hAnsi="宋体"/>
          <w:b/>
          <w:highlight w:val="none"/>
        </w:rPr>
        <w:t>磋商须知前附表</w:t>
      </w:r>
      <w:r>
        <w:rPr>
          <w:rFonts w:hint="eastAsia" w:hAnsi="宋体"/>
          <w:highlight w:val="none"/>
        </w:rPr>
        <w:t>规定交纳磋商</w:t>
      </w:r>
      <w:r>
        <w:rPr>
          <w:rFonts w:hint="eastAsia" w:hAnsi="宋体"/>
          <w:bCs/>
          <w:highlight w:val="none"/>
        </w:rPr>
        <w:t>保证金的</w:t>
      </w:r>
      <w:r>
        <w:rPr>
          <w:rFonts w:hint="eastAsia" w:hAnsi="宋体"/>
          <w:highlight w:val="none"/>
        </w:rPr>
        <w:t>，应按</w:t>
      </w:r>
      <w:r>
        <w:rPr>
          <w:rFonts w:hint="eastAsia" w:hAnsi="宋体"/>
          <w:b/>
          <w:highlight w:val="none"/>
        </w:rPr>
        <w:t>磋商须知前附表</w:t>
      </w:r>
      <w:r>
        <w:rPr>
          <w:rFonts w:hint="eastAsia" w:hAnsi="宋体"/>
          <w:highlight w:val="none"/>
        </w:rPr>
        <w:t>规定的磋商</w:t>
      </w:r>
      <w:r>
        <w:rPr>
          <w:rFonts w:hint="eastAsia" w:hAnsi="宋体"/>
          <w:bCs/>
          <w:highlight w:val="none"/>
        </w:rPr>
        <w:t>保证金形式交纳，不得以现金方式交纳</w:t>
      </w:r>
      <w:r>
        <w:rPr>
          <w:rFonts w:hint="eastAsia" w:hAnsi="宋体"/>
          <w:highlight w:val="none"/>
        </w:rPr>
        <w:t>，在</w:t>
      </w:r>
      <w:r>
        <w:rPr>
          <w:rFonts w:hint="eastAsia" w:hAnsi="宋体"/>
          <w:kern w:val="0"/>
          <w:highlight w:val="none"/>
        </w:rPr>
        <w:t>提交首次响应文件截止时间</w:t>
      </w:r>
      <w:r>
        <w:rPr>
          <w:rFonts w:hint="eastAsia" w:hAnsi="宋体"/>
          <w:highlight w:val="none"/>
        </w:rPr>
        <w:t>前，</w:t>
      </w:r>
      <w:r>
        <w:rPr>
          <w:rFonts w:hint="eastAsia" w:hAnsi="宋体"/>
          <w:bCs/>
          <w:highlight w:val="none"/>
        </w:rPr>
        <w:t>向采购代理机构交纳不超过</w:t>
      </w:r>
      <w:r>
        <w:rPr>
          <w:rFonts w:hint="eastAsia" w:hAnsi="宋体"/>
          <w:kern w:val="0"/>
          <w:highlight w:val="none"/>
          <w:lang w:val="zh-CN"/>
        </w:rPr>
        <w:t>采购项目预算</w:t>
      </w:r>
      <w:r>
        <w:rPr>
          <w:rFonts w:hAnsi="宋体"/>
          <w:kern w:val="0"/>
          <w:highlight w:val="none"/>
          <w:lang w:val="zh-CN"/>
        </w:rPr>
        <w:t>2</w:t>
      </w:r>
      <w:r>
        <w:rPr>
          <w:rFonts w:hint="eastAsia" w:hAnsi="宋体"/>
          <w:kern w:val="0"/>
          <w:highlight w:val="none"/>
          <w:lang w:val="zh-CN"/>
        </w:rPr>
        <w:t>﹪</w:t>
      </w:r>
      <w:r>
        <w:rPr>
          <w:rFonts w:hint="eastAsia" w:hAnsi="宋体"/>
          <w:bCs/>
          <w:highlight w:val="none"/>
        </w:rPr>
        <w:t>的磋商保证金</w:t>
      </w:r>
      <w:r>
        <w:rPr>
          <w:rFonts w:hAnsi="宋体"/>
          <w:bCs/>
          <w:highlight w:val="none"/>
        </w:rPr>
        <w:t>(</w:t>
      </w:r>
      <w:r>
        <w:rPr>
          <w:rFonts w:hint="eastAsia" w:hAnsi="宋体"/>
          <w:bCs/>
          <w:highlight w:val="none"/>
        </w:rPr>
        <w:t>数额采用四舍五入，计算至元</w:t>
      </w:r>
      <w:r>
        <w:rPr>
          <w:rFonts w:hAnsi="宋体"/>
          <w:bCs/>
          <w:highlight w:val="none"/>
        </w:rPr>
        <w:t>)</w:t>
      </w:r>
      <w:r>
        <w:rPr>
          <w:rFonts w:hint="eastAsia" w:hAnsi="宋体"/>
          <w:highlight w:val="none"/>
        </w:rPr>
        <w:t>。磋商</w:t>
      </w:r>
      <w:r>
        <w:rPr>
          <w:rFonts w:hint="eastAsia" w:hAnsi="宋体"/>
          <w:bCs/>
          <w:highlight w:val="none"/>
        </w:rPr>
        <w:t>保证金有效期应当与</w:t>
      </w:r>
      <w:r>
        <w:rPr>
          <w:rFonts w:hint="eastAsia" w:hAnsi="宋体"/>
          <w:highlight w:val="none"/>
        </w:rPr>
        <w:t>本章第</w:t>
      </w:r>
      <w:r>
        <w:rPr>
          <w:rFonts w:hAnsi="宋体"/>
          <w:highlight w:val="none"/>
        </w:rPr>
        <w:t>20.1</w:t>
      </w:r>
      <w:r>
        <w:rPr>
          <w:rFonts w:hint="eastAsia" w:hAnsi="宋体"/>
          <w:kern w:val="0"/>
          <w:highlight w:val="none"/>
          <w:lang w:val="zh-CN"/>
        </w:rPr>
        <w:t>款</w:t>
      </w:r>
      <w:r>
        <w:rPr>
          <w:rFonts w:hint="eastAsia" w:hAnsi="宋体"/>
          <w:highlight w:val="none"/>
        </w:rPr>
        <w:t>规定的</w:t>
      </w:r>
      <w:r>
        <w:rPr>
          <w:rFonts w:hint="eastAsia" w:hAnsi="宋体"/>
          <w:bCs/>
          <w:highlight w:val="none"/>
        </w:rPr>
        <w:t>响应文件有效期一致。</w:t>
      </w:r>
    </w:p>
    <w:p>
      <w:pPr>
        <w:adjustRightInd w:val="0"/>
        <w:snapToGrid w:val="0"/>
        <w:spacing w:line="360" w:lineRule="auto"/>
        <w:ind w:firstLine="420" w:firstLineChars="200"/>
        <w:rPr>
          <w:rFonts w:ascii="宋体"/>
          <w:b/>
          <w:highlight w:val="none"/>
        </w:rPr>
      </w:pPr>
      <w:r>
        <w:rPr>
          <w:rFonts w:ascii="宋体" w:hAnsi="宋体"/>
          <w:highlight w:val="none"/>
        </w:rPr>
        <w:t>19.2</w:t>
      </w:r>
      <w:r>
        <w:rPr>
          <w:rFonts w:hint="eastAsia" w:ascii="宋体" w:hAnsi="宋体" w:cs="宋体"/>
          <w:kern w:val="0"/>
          <w:highlight w:val="none"/>
          <w:lang w:val="zh-CN"/>
        </w:rPr>
        <w:t>供应商为联合体的，可以由联合体中的一方或者共同交纳磋商保证金，其交纳的磋商保证金，对联合体各方均具有约束力。</w:t>
      </w:r>
    </w:p>
    <w:p>
      <w:pPr>
        <w:pStyle w:val="11"/>
        <w:adjustRightInd w:val="0"/>
        <w:snapToGrid w:val="0"/>
        <w:spacing w:line="360" w:lineRule="auto"/>
        <w:ind w:firstLine="420" w:firstLineChars="200"/>
        <w:rPr>
          <w:rFonts w:hAnsi="宋体"/>
          <w:highlight w:val="none"/>
        </w:rPr>
      </w:pPr>
      <w:r>
        <w:rPr>
          <w:rFonts w:hAnsi="宋体"/>
          <w:highlight w:val="none"/>
        </w:rPr>
        <w:t>19.3</w:t>
      </w:r>
      <w:r>
        <w:rPr>
          <w:rFonts w:hint="eastAsia" w:hAnsi="宋体"/>
          <w:highlight w:val="none"/>
        </w:rPr>
        <w:t>供应商未按照磋商文件要求提交磋商保证金的，响应无效。</w:t>
      </w:r>
    </w:p>
    <w:p>
      <w:pPr>
        <w:pStyle w:val="11"/>
        <w:tabs>
          <w:tab w:val="left" w:pos="6300"/>
        </w:tabs>
        <w:adjustRightInd w:val="0"/>
        <w:snapToGrid w:val="0"/>
        <w:spacing w:line="360" w:lineRule="auto"/>
        <w:ind w:firstLine="420" w:firstLineChars="200"/>
        <w:rPr>
          <w:rFonts w:hAnsi="宋体"/>
          <w:highlight w:val="none"/>
        </w:rPr>
      </w:pPr>
      <w:r>
        <w:rPr>
          <w:rFonts w:hAnsi="宋体"/>
          <w:highlight w:val="none"/>
        </w:rPr>
        <w:t>19.4</w:t>
      </w:r>
      <w:r>
        <w:rPr>
          <w:rFonts w:hint="eastAsia" w:hAnsi="宋体"/>
          <w:highlight w:val="none"/>
        </w:rPr>
        <w:t>采购代理机构在成交通知书发出后</w:t>
      </w:r>
      <w:r>
        <w:rPr>
          <w:rFonts w:hAnsi="宋体"/>
          <w:highlight w:val="none"/>
        </w:rPr>
        <w:t>5</w:t>
      </w:r>
      <w:r>
        <w:rPr>
          <w:rFonts w:hint="eastAsia" w:hAnsi="宋体"/>
          <w:highlight w:val="none"/>
        </w:rPr>
        <w:t>个工作日内退还未成交供应商的磋商保证金；在采购合同签定后</w:t>
      </w:r>
      <w:r>
        <w:rPr>
          <w:rFonts w:hAnsi="宋体"/>
          <w:highlight w:val="none"/>
        </w:rPr>
        <w:t>5</w:t>
      </w:r>
      <w:r>
        <w:rPr>
          <w:rFonts w:hint="eastAsia" w:hAnsi="宋体"/>
          <w:highlight w:val="none"/>
        </w:rPr>
        <w:t>个工作日内退还成交供应商的磋商保证金，但因供应商自身原因导致无法及时退还的除外。</w:t>
      </w:r>
    </w:p>
    <w:p>
      <w:pPr>
        <w:pStyle w:val="11"/>
        <w:adjustRightInd w:val="0"/>
        <w:snapToGrid w:val="0"/>
        <w:spacing w:line="360" w:lineRule="auto"/>
        <w:ind w:firstLine="420" w:firstLineChars="200"/>
        <w:rPr>
          <w:kern w:val="0"/>
          <w:highlight w:val="none"/>
        </w:rPr>
      </w:pPr>
      <w:r>
        <w:rPr>
          <w:highlight w:val="none"/>
        </w:rPr>
        <w:t xml:space="preserve">19.5 </w:t>
      </w:r>
      <w:r>
        <w:rPr>
          <w:rFonts w:hint="eastAsia"/>
          <w:kern w:val="0"/>
          <w:highlight w:val="none"/>
        </w:rPr>
        <w:t>有下列情形之一的，磋商保证金不予退还，并上缴本级财政国库：</w:t>
      </w:r>
    </w:p>
    <w:p>
      <w:pPr>
        <w:widowControl/>
        <w:adjustRightInd w:val="0"/>
        <w:snapToGrid w:val="0"/>
        <w:spacing w:line="360" w:lineRule="auto"/>
        <w:ind w:firstLine="420" w:firstLineChars="200"/>
        <w:jc w:val="left"/>
        <w:rPr>
          <w:rFonts w:ascii="宋体" w:cs="宋体"/>
          <w:kern w:val="0"/>
          <w:highlight w:val="none"/>
        </w:rPr>
      </w:pPr>
      <w:r>
        <w:rPr>
          <w:rFonts w:hint="eastAsia" w:ascii="宋体" w:hAnsi="宋体" w:cs="宋体"/>
          <w:kern w:val="0"/>
          <w:highlight w:val="none"/>
        </w:rPr>
        <w:t>（</w:t>
      </w:r>
      <w:r>
        <w:rPr>
          <w:rFonts w:ascii="宋体" w:hAnsi="宋体" w:cs="宋体"/>
          <w:kern w:val="0"/>
          <w:highlight w:val="none"/>
        </w:rPr>
        <w:t>1</w:t>
      </w:r>
      <w:r>
        <w:rPr>
          <w:rFonts w:hint="eastAsia" w:ascii="宋体" w:hAnsi="宋体" w:cs="宋体"/>
          <w:kern w:val="0"/>
          <w:highlight w:val="none"/>
        </w:rPr>
        <w:t>）供应商在提交首次响应文件截止时间后撤回响应文件的；</w:t>
      </w:r>
    </w:p>
    <w:p>
      <w:pPr>
        <w:widowControl/>
        <w:adjustRightInd w:val="0"/>
        <w:snapToGrid w:val="0"/>
        <w:spacing w:line="360" w:lineRule="auto"/>
        <w:ind w:firstLine="420" w:firstLineChars="200"/>
        <w:jc w:val="left"/>
        <w:rPr>
          <w:kern w:val="0"/>
          <w:highlight w:val="none"/>
        </w:rPr>
      </w:pPr>
      <w:r>
        <w:rPr>
          <w:rFonts w:hint="eastAsia"/>
          <w:kern w:val="0"/>
          <w:highlight w:val="none"/>
        </w:rPr>
        <w:t>（</w:t>
      </w:r>
      <w:r>
        <w:rPr>
          <w:kern w:val="0"/>
          <w:highlight w:val="none"/>
        </w:rPr>
        <w:t>2</w:t>
      </w:r>
      <w:r>
        <w:rPr>
          <w:rFonts w:hint="eastAsia"/>
          <w:kern w:val="0"/>
          <w:highlight w:val="none"/>
        </w:rPr>
        <w:t>）供应商在响应文件中提供虚假资料的；</w:t>
      </w:r>
    </w:p>
    <w:p>
      <w:pPr>
        <w:widowControl/>
        <w:adjustRightInd w:val="0"/>
        <w:snapToGrid w:val="0"/>
        <w:spacing w:line="360" w:lineRule="auto"/>
        <w:ind w:firstLine="420" w:firstLineChars="200"/>
        <w:jc w:val="left"/>
        <w:rPr>
          <w:rFonts w:ascii="宋体" w:cs="宋体"/>
          <w:kern w:val="0"/>
          <w:highlight w:val="none"/>
        </w:rPr>
      </w:pPr>
      <w:r>
        <w:rPr>
          <w:rFonts w:hint="eastAsia"/>
          <w:kern w:val="0"/>
          <w:highlight w:val="none"/>
        </w:rPr>
        <w:t>（</w:t>
      </w:r>
      <w:r>
        <w:rPr>
          <w:kern w:val="0"/>
          <w:highlight w:val="none"/>
        </w:rPr>
        <w:t>3</w:t>
      </w:r>
      <w:r>
        <w:rPr>
          <w:rFonts w:hint="eastAsia"/>
          <w:kern w:val="0"/>
          <w:highlight w:val="none"/>
        </w:rPr>
        <w:t>）</w:t>
      </w:r>
      <w:r>
        <w:rPr>
          <w:rFonts w:hint="eastAsia"/>
          <w:highlight w:val="none"/>
        </w:rPr>
        <w:t>确定成交结果后，无正当理由放弃成交资格的；</w:t>
      </w:r>
    </w:p>
    <w:p>
      <w:pPr>
        <w:widowControl/>
        <w:adjustRightInd w:val="0"/>
        <w:snapToGrid w:val="0"/>
        <w:spacing w:line="360" w:lineRule="auto"/>
        <w:ind w:firstLine="525" w:firstLineChars="250"/>
        <w:jc w:val="left"/>
        <w:rPr>
          <w:rFonts w:ascii="宋体" w:cs="宋体"/>
          <w:kern w:val="0"/>
          <w:highlight w:val="none"/>
        </w:rPr>
      </w:pPr>
      <w:r>
        <w:rPr>
          <w:rFonts w:ascii="宋体" w:hAnsi="宋体" w:cs="宋体"/>
          <w:kern w:val="0"/>
          <w:highlight w:val="none"/>
        </w:rPr>
        <w:t xml:space="preserve">(4) </w:t>
      </w:r>
      <w:r>
        <w:rPr>
          <w:rFonts w:hint="eastAsia" w:ascii="宋体" w:hAnsi="宋体" w:cs="宋体"/>
          <w:kern w:val="0"/>
          <w:highlight w:val="none"/>
        </w:rPr>
        <w:t>除因不可抗力或磋商文件认可的情形以外，成交供应商不与采购人签订合同的；</w:t>
      </w:r>
    </w:p>
    <w:p>
      <w:pPr>
        <w:widowControl/>
        <w:adjustRightInd w:val="0"/>
        <w:snapToGrid w:val="0"/>
        <w:spacing w:line="360" w:lineRule="auto"/>
        <w:ind w:firstLine="420" w:firstLineChars="200"/>
        <w:jc w:val="left"/>
        <w:rPr>
          <w:rFonts w:ascii="宋体" w:cs="宋体"/>
          <w:kern w:val="0"/>
          <w:highlight w:val="none"/>
        </w:rPr>
      </w:pPr>
      <w:r>
        <w:rPr>
          <w:rFonts w:hint="eastAsia" w:ascii="宋体" w:hAnsi="宋体" w:cs="宋体"/>
          <w:kern w:val="0"/>
          <w:highlight w:val="none"/>
        </w:rPr>
        <w:t>（</w:t>
      </w:r>
      <w:r>
        <w:rPr>
          <w:rFonts w:ascii="宋体" w:hAnsi="宋体" w:cs="宋体"/>
          <w:kern w:val="0"/>
          <w:highlight w:val="none"/>
        </w:rPr>
        <w:t>5</w:t>
      </w:r>
      <w:r>
        <w:rPr>
          <w:rFonts w:hint="eastAsia" w:ascii="宋体" w:hAnsi="宋体" w:cs="宋体"/>
          <w:kern w:val="0"/>
          <w:highlight w:val="none"/>
        </w:rPr>
        <w:t>）供应商与采购人、其他供应商或者采购代理机构恶意串通的；</w:t>
      </w:r>
    </w:p>
    <w:p>
      <w:pPr>
        <w:widowControl/>
        <w:adjustRightInd w:val="0"/>
        <w:snapToGrid w:val="0"/>
        <w:spacing w:line="360" w:lineRule="auto"/>
        <w:ind w:firstLine="420" w:firstLineChars="200"/>
        <w:jc w:val="left"/>
        <w:rPr>
          <w:rFonts w:ascii="宋体" w:cs="宋体"/>
          <w:kern w:val="0"/>
          <w:highlight w:val="none"/>
        </w:rPr>
      </w:pPr>
      <w:r>
        <w:rPr>
          <w:rFonts w:hint="eastAsia" w:ascii="宋体" w:hAnsi="宋体" w:cs="宋体"/>
          <w:kern w:val="0"/>
          <w:highlight w:val="none"/>
        </w:rPr>
        <w:t>（</w:t>
      </w:r>
      <w:r>
        <w:rPr>
          <w:rFonts w:ascii="宋体" w:hAnsi="宋体" w:cs="宋体"/>
          <w:kern w:val="0"/>
          <w:highlight w:val="none"/>
        </w:rPr>
        <w:t>6</w:t>
      </w:r>
      <w:r>
        <w:rPr>
          <w:rFonts w:hint="eastAsia" w:ascii="宋体" w:hAnsi="宋体" w:cs="宋体"/>
          <w:kern w:val="0"/>
          <w:highlight w:val="none"/>
        </w:rPr>
        <w:t>）磋商文件规定的其他情形。</w:t>
      </w:r>
    </w:p>
    <w:p>
      <w:pPr>
        <w:adjustRightInd w:val="0"/>
        <w:snapToGrid w:val="0"/>
        <w:spacing w:line="360" w:lineRule="auto"/>
        <w:rPr>
          <w:rFonts w:ascii="宋体"/>
          <w:b/>
          <w:bCs/>
          <w:highlight w:val="none"/>
        </w:rPr>
      </w:pPr>
      <w:r>
        <w:rPr>
          <w:rFonts w:ascii="宋体" w:hAnsi="宋体"/>
          <w:b/>
          <w:bCs/>
          <w:highlight w:val="none"/>
        </w:rPr>
        <w:t>20.</w:t>
      </w:r>
      <w:r>
        <w:rPr>
          <w:rFonts w:hint="eastAsia" w:hAnsi="宋体"/>
          <w:b/>
          <w:highlight w:val="none"/>
        </w:rPr>
        <w:t>响应文件</w:t>
      </w:r>
      <w:r>
        <w:rPr>
          <w:rFonts w:hint="eastAsia" w:ascii="宋体" w:hAnsi="宋体"/>
          <w:b/>
          <w:highlight w:val="none"/>
        </w:rPr>
        <w:t>有效期</w:t>
      </w:r>
    </w:p>
    <w:p>
      <w:pPr>
        <w:adjustRightInd w:val="0"/>
        <w:snapToGrid w:val="0"/>
        <w:spacing w:line="360" w:lineRule="auto"/>
        <w:ind w:firstLine="420" w:firstLineChars="200"/>
        <w:jc w:val="left"/>
        <w:rPr>
          <w:rFonts w:hAnsi="宋体"/>
          <w:highlight w:val="none"/>
        </w:rPr>
      </w:pPr>
      <w:r>
        <w:rPr>
          <w:rFonts w:ascii="宋体" w:hAnsi="宋体"/>
          <w:highlight w:val="none"/>
        </w:rPr>
        <w:t>20.1</w:t>
      </w:r>
      <w:r>
        <w:rPr>
          <w:rFonts w:hint="eastAsia" w:ascii="宋体" w:hAnsi="宋体"/>
          <w:highlight w:val="none"/>
        </w:rPr>
        <w:t>响应文件有效期见</w:t>
      </w:r>
      <w:r>
        <w:rPr>
          <w:rFonts w:hint="eastAsia" w:ascii="宋体" w:hAnsi="宋体"/>
          <w:b/>
          <w:highlight w:val="none"/>
        </w:rPr>
        <w:t>磋商须知前附表</w:t>
      </w:r>
      <w:r>
        <w:rPr>
          <w:rFonts w:hint="eastAsia" w:ascii="宋体" w:hAnsi="宋体"/>
          <w:highlight w:val="none"/>
        </w:rPr>
        <w:t>，在此期间响应文件对供应商具有法律约束力，</w:t>
      </w:r>
      <w:r>
        <w:rPr>
          <w:rFonts w:hint="eastAsia" w:ascii="宋体" w:hAnsi="宋体" w:cs="Arial"/>
          <w:highlight w:val="none"/>
        </w:rPr>
        <w:t>从</w:t>
      </w:r>
      <w:r>
        <w:rPr>
          <w:rFonts w:hint="eastAsia" w:ascii="宋体" w:hAnsi="宋体" w:cs="宋体"/>
          <w:kern w:val="0"/>
          <w:highlight w:val="none"/>
        </w:rPr>
        <w:t>提交首次响应文件截止时间</w:t>
      </w:r>
      <w:r>
        <w:rPr>
          <w:rFonts w:hint="eastAsia" w:hAnsi="宋体"/>
          <w:highlight w:val="none"/>
        </w:rPr>
        <w:t>之日</w:t>
      </w:r>
      <w:r>
        <w:rPr>
          <w:rFonts w:hint="eastAsia" w:hAnsi="宋体" w:cs="Arial"/>
          <w:highlight w:val="none"/>
        </w:rPr>
        <w:t>起计算。</w:t>
      </w:r>
      <w:r>
        <w:rPr>
          <w:rFonts w:hint="eastAsia" w:hAnsi="宋体"/>
          <w:highlight w:val="none"/>
        </w:rPr>
        <w:t>响应文件有效期不足的将被视为无效响应。</w:t>
      </w:r>
    </w:p>
    <w:p>
      <w:pPr>
        <w:adjustRightInd w:val="0"/>
        <w:snapToGrid w:val="0"/>
        <w:spacing w:line="360" w:lineRule="auto"/>
        <w:rPr>
          <w:rFonts w:ascii="宋体"/>
          <w:b/>
          <w:bCs/>
          <w:highlight w:val="none"/>
        </w:rPr>
      </w:pPr>
      <w:r>
        <w:rPr>
          <w:rFonts w:ascii="宋体" w:hAnsi="宋体"/>
          <w:b/>
          <w:bCs/>
          <w:highlight w:val="none"/>
        </w:rPr>
        <w:t>21.</w:t>
      </w:r>
      <w:r>
        <w:rPr>
          <w:rFonts w:hint="eastAsia" w:ascii="宋体" w:hAnsi="宋体"/>
          <w:b/>
          <w:bCs/>
          <w:highlight w:val="none"/>
        </w:rPr>
        <w:t>响应文件的签署及规定</w:t>
      </w:r>
    </w:p>
    <w:p>
      <w:pPr>
        <w:pStyle w:val="11"/>
        <w:adjustRightInd w:val="0"/>
        <w:snapToGrid w:val="0"/>
        <w:spacing w:line="360" w:lineRule="auto"/>
        <w:ind w:firstLine="420" w:firstLineChars="200"/>
        <w:rPr>
          <w:rFonts w:hAnsi="宋体"/>
          <w:highlight w:val="none"/>
        </w:rPr>
      </w:pPr>
      <w:r>
        <w:rPr>
          <w:rFonts w:hAnsi="宋体"/>
          <w:highlight w:val="none"/>
        </w:rPr>
        <w:t>21.1</w:t>
      </w:r>
      <w:r>
        <w:rPr>
          <w:rFonts w:hint="eastAsia" w:hAnsi="宋体"/>
          <w:highlight w:val="none"/>
        </w:rPr>
        <w:t>响应文件的正本和副本应装订成册，正本一份，副本份数见</w:t>
      </w:r>
      <w:r>
        <w:rPr>
          <w:rFonts w:hint="eastAsia" w:hAnsi="宋体"/>
          <w:b/>
          <w:highlight w:val="none"/>
        </w:rPr>
        <w:t>磋商须知前附表</w:t>
      </w:r>
      <w:r>
        <w:rPr>
          <w:rFonts w:hint="eastAsia" w:hAnsi="宋体"/>
          <w:highlight w:val="none"/>
        </w:rPr>
        <w:t>。正本和副本的封面上应标记“正本”或“副本”的字样，当正本和副本有差异时，以正本为准。</w:t>
      </w:r>
    </w:p>
    <w:p>
      <w:pPr>
        <w:pStyle w:val="11"/>
        <w:adjustRightInd w:val="0"/>
        <w:snapToGrid w:val="0"/>
        <w:spacing w:line="360" w:lineRule="auto"/>
        <w:ind w:firstLine="420" w:firstLineChars="200"/>
        <w:rPr>
          <w:rFonts w:hAnsi="宋体"/>
          <w:highlight w:val="none"/>
        </w:rPr>
      </w:pPr>
      <w:r>
        <w:rPr>
          <w:rFonts w:hAnsi="宋体"/>
          <w:highlight w:val="none"/>
        </w:rPr>
        <w:t xml:space="preserve">21.2 </w:t>
      </w:r>
      <w:r>
        <w:rPr>
          <w:rFonts w:hint="eastAsia" w:hAnsi="宋体"/>
          <w:highlight w:val="none"/>
        </w:rPr>
        <w:t>响应文件正本和副本应按磋商文件要求签章处盖单位章和由负责人或其委托代理人签字；任何加行、涂改、增删，应有负责人或其委托代理人在旁边签字。否则，将导致响应文件无效。</w:t>
      </w:r>
    </w:p>
    <w:p>
      <w:pPr>
        <w:pStyle w:val="11"/>
        <w:adjustRightInd w:val="0"/>
        <w:snapToGrid w:val="0"/>
        <w:spacing w:line="360" w:lineRule="auto"/>
        <w:ind w:firstLine="420" w:firstLineChars="200"/>
        <w:rPr>
          <w:rFonts w:hAnsi="宋体"/>
          <w:highlight w:val="none"/>
        </w:rPr>
      </w:pPr>
      <w:r>
        <w:rPr>
          <w:rFonts w:hAnsi="宋体"/>
          <w:highlight w:val="none"/>
        </w:rPr>
        <w:t xml:space="preserve">21.3 </w:t>
      </w:r>
      <w:r>
        <w:rPr>
          <w:rFonts w:hint="eastAsia" w:hAnsi="宋体"/>
          <w:highlight w:val="none"/>
        </w:rPr>
        <w:t>在磋商过程中，供应商按磋商文件规定和磋商小组要求</w:t>
      </w:r>
      <w:r>
        <w:rPr>
          <w:rFonts w:hint="eastAsia" w:hAnsi="宋体"/>
          <w:kern w:val="0"/>
          <w:highlight w:val="none"/>
        </w:rPr>
        <w:t>提交的</w:t>
      </w:r>
      <w:r>
        <w:rPr>
          <w:rFonts w:hint="eastAsia" w:hAnsi="宋体"/>
          <w:highlight w:val="none"/>
        </w:rPr>
        <w:t>最后报价</w:t>
      </w:r>
      <w:r>
        <w:rPr>
          <w:rFonts w:hAnsi="宋体"/>
          <w:highlight w:val="none"/>
        </w:rPr>
        <w:t>(</w:t>
      </w:r>
      <w:r>
        <w:rPr>
          <w:rFonts w:hint="eastAsia" w:hAnsi="宋体"/>
          <w:highlight w:val="none"/>
        </w:rPr>
        <w:t>或者</w:t>
      </w:r>
      <w:r>
        <w:rPr>
          <w:rFonts w:hint="eastAsia" w:hAnsi="宋体"/>
          <w:bCs/>
          <w:highlight w:val="none"/>
        </w:rPr>
        <w:t>重</w:t>
      </w:r>
      <w:r>
        <w:rPr>
          <w:rFonts w:hint="eastAsia" w:hAnsi="宋体"/>
          <w:kern w:val="0"/>
          <w:highlight w:val="none"/>
        </w:rPr>
        <w:t>新提交的响应文件和</w:t>
      </w:r>
      <w:r>
        <w:rPr>
          <w:rFonts w:hint="eastAsia" w:hAnsi="宋体"/>
          <w:highlight w:val="none"/>
        </w:rPr>
        <w:t>最后报价</w:t>
      </w:r>
      <w:r>
        <w:rPr>
          <w:rFonts w:hAnsi="宋体"/>
          <w:highlight w:val="none"/>
        </w:rPr>
        <w:t>)</w:t>
      </w:r>
      <w:r>
        <w:rPr>
          <w:rFonts w:hint="eastAsia" w:hAnsi="宋体"/>
          <w:highlight w:val="none"/>
        </w:rPr>
        <w:t>，可打印或用不退色墨水书写，但需经负责人或其委托代理人签字，</w:t>
      </w:r>
      <w:r>
        <w:rPr>
          <w:rFonts w:hint="eastAsia" w:hAnsi="宋体"/>
          <w:kern w:val="0"/>
          <w:highlight w:val="none"/>
        </w:rPr>
        <w:t>或者加盖供应商单位章</w:t>
      </w:r>
      <w:r>
        <w:rPr>
          <w:rFonts w:hint="eastAsia" w:hAnsi="宋体"/>
          <w:highlight w:val="none"/>
        </w:rPr>
        <w:t>。否则，将导致响应文件无效。</w:t>
      </w:r>
    </w:p>
    <w:p>
      <w:pPr>
        <w:adjustRightInd w:val="0"/>
        <w:snapToGrid w:val="0"/>
        <w:spacing w:line="360" w:lineRule="auto"/>
        <w:rPr>
          <w:rFonts w:ascii="黑体" w:hAnsi="宋体" w:eastAsia="黑体"/>
          <w:sz w:val="24"/>
          <w:highlight w:val="none"/>
        </w:rPr>
      </w:pPr>
      <w:r>
        <w:rPr>
          <w:rFonts w:hint="eastAsia" w:ascii="黑体" w:hAnsi="宋体" w:eastAsia="黑体"/>
          <w:sz w:val="24"/>
          <w:highlight w:val="none"/>
        </w:rPr>
        <w:t>四、响应文件的递交</w:t>
      </w:r>
    </w:p>
    <w:p>
      <w:pPr>
        <w:adjustRightInd w:val="0"/>
        <w:snapToGrid w:val="0"/>
        <w:spacing w:line="360" w:lineRule="auto"/>
        <w:rPr>
          <w:rFonts w:ascii="宋体"/>
          <w:b/>
          <w:bCs/>
          <w:highlight w:val="none"/>
        </w:rPr>
      </w:pPr>
      <w:r>
        <w:rPr>
          <w:rFonts w:ascii="宋体" w:hAnsi="宋体"/>
          <w:b/>
          <w:bCs/>
          <w:highlight w:val="none"/>
        </w:rPr>
        <w:t>22.</w:t>
      </w:r>
      <w:r>
        <w:rPr>
          <w:rFonts w:hint="eastAsia" w:ascii="宋体" w:hAnsi="宋体"/>
          <w:b/>
          <w:highlight w:val="none"/>
        </w:rPr>
        <w:t>响应文件</w:t>
      </w:r>
      <w:r>
        <w:rPr>
          <w:rFonts w:hint="eastAsia" w:ascii="宋体" w:hAnsi="宋体"/>
          <w:b/>
          <w:bCs/>
          <w:highlight w:val="none"/>
        </w:rPr>
        <w:t>的密封和标记</w:t>
      </w:r>
    </w:p>
    <w:p>
      <w:pPr>
        <w:pStyle w:val="11"/>
        <w:adjustRightInd w:val="0"/>
        <w:snapToGrid w:val="0"/>
        <w:spacing w:line="360" w:lineRule="auto"/>
        <w:ind w:firstLine="420" w:firstLineChars="200"/>
        <w:rPr>
          <w:rFonts w:hAnsi="宋体"/>
          <w:highlight w:val="none"/>
        </w:rPr>
      </w:pPr>
      <w:r>
        <w:rPr>
          <w:rFonts w:hAnsi="宋体"/>
          <w:highlight w:val="none"/>
        </w:rPr>
        <w:t>22.1</w:t>
      </w:r>
      <w:r>
        <w:rPr>
          <w:rFonts w:hint="eastAsia" w:hAnsi="宋体"/>
          <w:highlight w:val="none"/>
        </w:rPr>
        <w:t>响应文件应密封包装，加贴封条，并在封套的封口处盖供应商单位章或者由负责人或其委托代理人签字。</w:t>
      </w:r>
    </w:p>
    <w:p>
      <w:pPr>
        <w:adjustRightInd w:val="0"/>
        <w:snapToGrid w:val="0"/>
        <w:spacing w:line="360" w:lineRule="auto"/>
        <w:ind w:firstLine="420" w:firstLineChars="200"/>
        <w:jc w:val="left"/>
        <w:rPr>
          <w:rFonts w:ascii="宋体"/>
          <w:highlight w:val="none"/>
        </w:rPr>
      </w:pPr>
      <w:r>
        <w:rPr>
          <w:rFonts w:ascii="宋体" w:hAnsi="宋体"/>
          <w:highlight w:val="none"/>
        </w:rPr>
        <w:t>22.2</w:t>
      </w:r>
      <w:r>
        <w:rPr>
          <w:rFonts w:hint="eastAsia" w:ascii="宋体" w:hAnsi="宋体"/>
          <w:highlight w:val="none"/>
        </w:rPr>
        <w:t>响应文件封套上应写明的内容见</w:t>
      </w:r>
      <w:r>
        <w:rPr>
          <w:rFonts w:hint="eastAsia" w:ascii="宋体" w:hAnsi="宋体"/>
          <w:b/>
          <w:highlight w:val="none"/>
        </w:rPr>
        <w:t>磋商须知前附表。</w:t>
      </w:r>
    </w:p>
    <w:p>
      <w:pPr>
        <w:adjustRightInd w:val="0"/>
        <w:snapToGrid w:val="0"/>
        <w:spacing w:line="360" w:lineRule="auto"/>
        <w:ind w:firstLine="420" w:firstLineChars="200"/>
        <w:jc w:val="left"/>
        <w:rPr>
          <w:rFonts w:ascii="宋体"/>
          <w:highlight w:val="none"/>
        </w:rPr>
      </w:pPr>
      <w:r>
        <w:rPr>
          <w:rFonts w:ascii="宋体" w:hAnsi="宋体"/>
          <w:highlight w:val="none"/>
        </w:rPr>
        <w:t>22.3</w:t>
      </w:r>
      <w:r>
        <w:rPr>
          <w:rFonts w:hint="eastAsia" w:ascii="宋体" w:hAnsi="宋体"/>
          <w:highlight w:val="none"/>
        </w:rPr>
        <w:t>响应文件如果未按上述规定密封和加写标记，采购人或采购代理机构将拒绝接收。</w:t>
      </w:r>
    </w:p>
    <w:p>
      <w:pPr>
        <w:adjustRightInd w:val="0"/>
        <w:snapToGrid w:val="0"/>
        <w:spacing w:line="360" w:lineRule="auto"/>
        <w:rPr>
          <w:rFonts w:ascii="宋体"/>
          <w:b/>
          <w:bCs/>
          <w:highlight w:val="none"/>
        </w:rPr>
      </w:pPr>
      <w:r>
        <w:rPr>
          <w:rFonts w:ascii="宋体" w:hAnsi="宋体"/>
          <w:b/>
          <w:bCs/>
          <w:highlight w:val="none"/>
        </w:rPr>
        <w:t>23.</w:t>
      </w:r>
      <w:r>
        <w:rPr>
          <w:rFonts w:hint="eastAsia" w:ascii="宋体" w:hAnsi="宋体"/>
          <w:b/>
          <w:bCs/>
          <w:highlight w:val="none"/>
        </w:rPr>
        <w:t>响应文件的</w:t>
      </w:r>
      <w:r>
        <w:rPr>
          <w:rFonts w:hint="eastAsia" w:ascii="宋体" w:hAnsi="宋体" w:cs="宋体"/>
          <w:b/>
          <w:kern w:val="0"/>
          <w:highlight w:val="none"/>
          <w:lang w:val="zh-CN"/>
        </w:rPr>
        <w:t>补充、修改或者撤回</w:t>
      </w:r>
    </w:p>
    <w:p>
      <w:pPr>
        <w:pStyle w:val="11"/>
        <w:adjustRightInd w:val="0"/>
        <w:snapToGrid w:val="0"/>
        <w:spacing w:line="360" w:lineRule="auto"/>
        <w:ind w:firstLine="420" w:firstLineChars="200"/>
        <w:rPr>
          <w:rFonts w:hAnsi="宋体"/>
          <w:highlight w:val="none"/>
        </w:rPr>
      </w:pPr>
      <w:r>
        <w:rPr>
          <w:rFonts w:hAnsi="宋体"/>
          <w:highlight w:val="none"/>
        </w:rPr>
        <w:t>23.1</w:t>
      </w:r>
      <w:r>
        <w:rPr>
          <w:rFonts w:hint="eastAsia" w:hAnsi="宋体"/>
          <w:kern w:val="0"/>
          <w:highlight w:val="none"/>
        </w:rPr>
        <w:t>供应商在提交首次响应文件截止时间前，可以对所提交的首次响应文件进行补充、修改或者撤回，并书面通知采购人、采购代理机构。</w:t>
      </w:r>
      <w:r>
        <w:rPr>
          <w:rFonts w:hint="eastAsia" w:hAnsi="宋体"/>
          <w:highlight w:val="none"/>
        </w:rPr>
        <w:t>该通知应有供应商负责人或其委托代理人签字。</w:t>
      </w:r>
    </w:p>
    <w:p>
      <w:pPr>
        <w:pStyle w:val="11"/>
        <w:adjustRightInd w:val="0"/>
        <w:snapToGrid w:val="0"/>
        <w:spacing w:line="360" w:lineRule="auto"/>
        <w:ind w:firstLine="420" w:firstLineChars="200"/>
        <w:rPr>
          <w:rFonts w:hAnsi="宋体"/>
          <w:highlight w:val="none"/>
        </w:rPr>
      </w:pPr>
      <w:r>
        <w:rPr>
          <w:rFonts w:hAnsi="宋体"/>
          <w:highlight w:val="none"/>
        </w:rPr>
        <w:t>23.2</w:t>
      </w:r>
      <w:r>
        <w:rPr>
          <w:rFonts w:hint="eastAsia" w:hAnsi="宋体"/>
          <w:kern w:val="0"/>
          <w:highlight w:val="none"/>
          <w:lang w:val="zh-CN"/>
        </w:rPr>
        <w:t>补充、修改的内容与响应文件不一致时，以补充、修改的内容为准。</w:t>
      </w:r>
    </w:p>
    <w:p>
      <w:pPr>
        <w:adjustRightInd w:val="0"/>
        <w:snapToGrid w:val="0"/>
        <w:spacing w:line="360" w:lineRule="auto"/>
        <w:rPr>
          <w:rFonts w:ascii="宋体"/>
          <w:b/>
          <w:bCs/>
          <w:highlight w:val="none"/>
        </w:rPr>
      </w:pPr>
      <w:r>
        <w:rPr>
          <w:rFonts w:ascii="宋体" w:hAnsi="宋体"/>
          <w:b/>
          <w:bCs/>
          <w:highlight w:val="none"/>
        </w:rPr>
        <w:t>24.</w:t>
      </w:r>
      <w:r>
        <w:rPr>
          <w:rFonts w:hint="eastAsia" w:ascii="宋体" w:hAnsi="宋体"/>
          <w:b/>
          <w:bCs/>
          <w:highlight w:val="none"/>
        </w:rPr>
        <w:t>响应文件的递交与接收</w:t>
      </w:r>
    </w:p>
    <w:p>
      <w:pPr>
        <w:adjustRightInd w:val="0"/>
        <w:snapToGrid w:val="0"/>
        <w:spacing w:line="360" w:lineRule="auto"/>
        <w:ind w:firstLine="420" w:firstLineChars="200"/>
        <w:rPr>
          <w:rFonts w:ascii="宋体"/>
          <w:highlight w:val="none"/>
        </w:rPr>
      </w:pPr>
      <w:r>
        <w:rPr>
          <w:rFonts w:ascii="宋体" w:hAnsi="宋体"/>
          <w:highlight w:val="none"/>
        </w:rPr>
        <w:t xml:space="preserve">24.1 </w:t>
      </w:r>
      <w:r>
        <w:rPr>
          <w:rFonts w:hint="eastAsia" w:ascii="宋体" w:hAnsi="宋体"/>
          <w:highlight w:val="none"/>
        </w:rPr>
        <w:t>供应商应在</w:t>
      </w:r>
      <w:r>
        <w:rPr>
          <w:rFonts w:hint="eastAsia" w:ascii="宋体" w:hAnsi="宋体" w:cs="宋体"/>
          <w:kern w:val="0"/>
          <w:highlight w:val="none"/>
        </w:rPr>
        <w:t>提交首次响应文件截止时间</w:t>
      </w:r>
      <w:r>
        <w:rPr>
          <w:rFonts w:hint="eastAsia" w:ascii="宋体" w:hAnsi="宋体"/>
          <w:highlight w:val="none"/>
        </w:rPr>
        <w:t>前，将响应文件送</w:t>
      </w:r>
      <w:r>
        <w:rPr>
          <w:rFonts w:hint="eastAsia" w:ascii="宋体" w:hAnsi="宋体" w:cs="Arial"/>
          <w:highlight w:val="none"/>
        </w:rPr>
        <w:t>达</w:t>
      </w:r>
      <w:r>
        <w:rPr>
          <w:rFonts w:hint="eastAsia" w:ascii="宋体" w:hAnsi="宋体"/>
          <w:b/>
          <w:highlight w:val="none"/>
        </w:rPr>
        <w:t>磋商须知前附表</w:t>
      </w:r>
      <w:r>
        <w:rPr>
          <w:rFonts w:hint="eastAsia" w:ascii="宋体" w:hAnsi="宋体"/>
          <w:highlight w:val="none"/>
        </w:rPr>
        <w:t>中指定的地点。</w:t>
      </w:r>
      <w:r>
        <w:rPr>
          <w:rFonts w:hint="eastAsia" w:hAnsi="宋体" w:cs="宋体"/>
          <w:kern w:val="0"/>
          <w:highlight w:val="none"/>
        </w:rPr>
        <w:t>在截止时间后送达的响应文件，采购人、采购代理机构或者磋商小组应当拒收。</w:t>
      </w:r>
    </w:p>
    <w:p>
      <w:pPr>
        <w:pStyle w:val="11"/>
        <w:adjustRightInd w:val="0"/>
        <w:snapToGrid w:val="0"/>
        <w:spacing w:line="360" w:lineRule="auto"/>
        <w:ind w:firstLine="420" w:firstLineChars="200"/>
        <w:rPr>
          <w:rFonts w:hAnsi="宋体"/>
          <w:highlight w:val="none"/>
        </w:rPr>
      </w:pPr>
      <w:r>
        <w:rPr>
          <w:rFonts w:hAnsi="宋体"/>
          <w:highlight w:val="none"/>
        </w:rPr>
        <w:t>24.2</w:t>
      </w:r>
      <w:r>
        <w:rPr>
          <w:rFonts w:hint="eastAsia" w:hAnsi="宋体"/>
          <w:kern w:val="0"/>
          <w:highlight w:val="none"/>
        </w:rPr>
        <w:t>在提交首次响应文件截止时间后，</w:t>
      </w:r>
      <w:r>
        <w:rPr>
          <w:rFonts w:hint="eastAsia" w:hAnsi="宋体"/>
          <w:highlight w:val="none"/>
        </w:rPr>
        <w:t>由</w:t>
      </w:r>
      <w:r>
        <w:rPr>
          <w:rFonts w:hint="eastAsia" w:hAnsi="宋体"/>
          <w:bCs/>
          <w:highlight w:val="none"/>
        </w:rPr>
        <w:t>供应商代表</w:t>
      </w:r>
      <w:r>
        <w:rPr>
          <w:rFonts w:hint="eastAsia" w:hAnsi="宋体"/>
          <w:highlight w:val="none"/>
        </w:rPr>
        <w:t>当场查验</w:t>
      </w:r>
      <w:r>
        <w:rPr>
          <w:rFonts w:hint="eastAsia" w:hAnsi="宋体"/>
          <w:bCs/>
          <w:highlight w:val="none"/>
        </w:rPr>
        <w:t>响应文件</w:t>
      </w:r>
      <w:r>
        <w:rPr>
          <w:rFonts w:hint="eastAsia" w:hAnsi="宋体"/>
          <w:highlight w:val="none"/>
        </w:rPr>
        <w:t>的密封状况，采购人或</w:t>
      </w:r>
      <w:r>
        <w:rPr>
          <w:rFonts w:hint="eastAsia" w:hAnsi="宋体"/>
          <w:bCs/>
          <w:highlight w:val="none"/>
        </w:rPr>
        <w:t>采购代理机构</w:t>
      </w:r>
      <w:r>
        <w:rPr>
          <w:rFonts w:hint="eastAsia" w:hAnsi="宋体"/>
          <w:highlight w:val="none"/>
        </w:rPr>
        <w:t>不当场拆封</w:t>
      </w:r>
      <w:r>
        <w:rPr>
          <w:rFonts w:hint="eastAsia" w:hAnsi="宋体"/>
          <w:bCs/>
          <w:highlight w:val="none"/>
        </w:rPr>
        <w:t>响应文件</w:t>
      </w:r>
      <w:r>
        <w:rPr>
          <w:rFonts w:hint="eastAsia" w:hAnsi="宋体"/>
          <w:highlight w:val="none"/>
        </w:rPr>
        <w:t>。</w:t>
      </w:r>
    </w:p>
    <w:p>
      <w:pPr>
        <w:adjustRightInd w:val="0"/>
        <w:snapToGrid w:val="0"/>
        <w:spacing w:line="360" w:lineRule="auto"/>
        <w:rPr>
          <w:rFonts w:ascii="黑体" w:hAnsi="宋体" w:eastAsia="黑体"/>
          <w:sz w:val="24"/>
          <w:highlight w:val="none"/>
        </w:rPr>
      </w:pPr>
      <w:r>
        <w:rPr>
          <w:rFonts w:hint="eastAsia" w:ascii="黑体" w:hAnsi="宋体" w:eastAsia="黑体"/>
          <w:sz w:val="24"/>
          <w:highlight w:val="none"/>
        </w:rPr>
        <w:t>五、响应文件的磋商与评审</w:t>
      </w:r>
    </w:p>
    <w:p>
      <w:pPr>
        <w:tabs>
          <w:tab w:val="left" w:pos="0"/>
        </w:tabs>
        <w:adjustRightInd w:val="0"/>
        <w:snapToGrid w:val="0"/>
        <w:spacing w:line="360" w:lineRule="auto"/>
        <w:rPr>
          <w:rFonts w:ascii="宋体"/>
          <w:b/>
          <w:bCs/>
          <w:highlight w:val="none"/>
        </w:rPr>
      </w:pPr>
      <w:r>
        <w:rPr>
          <w:rFonts w:ascii="宋体" w:hAnsi="宋体"/>
          <w:b/>
          <w:bCs/>
          <w:highlight w:val="none"/>
        </w:rPr>
        <w:t>25.</w:t>
      </w:r>
      <w:r>
        <w:rPr>
          <w:rFonts w:hint="eastAsia" w:ascii="宋体" w:hAnsi="宋体"/>
          <w:b/>
          <w:bCs/>
          <w:highlight w:val="none"/>
        </w:rPr>
        <w:t>磋商程序</w:t>
      </w:r>
    </w:p>
    <w:p>
      <w:pPr>
        <w:widowControl/>
        <w:adjustRightInd w:val="0"/>
        <w:snapToGrid w:val="0"/>
        <w:spacing w:line="360" w:lineRule="auto"/>
        <w:ind w:firstLine="420"/>
        <w:jc w:val="left"/>
        <w:rPr>
          <w:rFonts w:ascii="宋体"/>
          <w:bCs/>
          <w:highlight w:val="none"/>
        </w:rPr>
      </w:pPr>
      <w:r>
        <w:rPr>
          <w:rFonts w:ascii="宋体" w:hAnsi="宋体" w:cs="宋体"/>
          <w:kern w:val="0"/>
          <w:highlight w:val="none"/>
        </w:rPr>
        <w:t>25.1</w:t>
      </w:r>
      <w:r>
        <w:rPr>
          <w:rFonts w:hint="eastAsia" w:ascii="宋体" w:hAnsi="宋体" w:cs="宋体"/>
          <w:kern w:val="0"/>
          <w:highlight w:val="none"/>
        </w:rPr>
        <w:t>磋商程序：响应文件审查、磋商（包括澄清）、响应文件评审、</w:t>
      </w:r>
      <w:r>
        <w:rPr>
          <w:rFonts w:hint="eastAsia" w:ascii="宋体" w:hAnsi="宋体"/>
          <w:bCs/>
          <w:highlight w:val="none"/>
        </w:rPr>
        <w:t>提出成交供应商。其中，</w:t>
      </w:r>
      <w:r>
        <w:rPr>
          <w:rFonts w:hint="eastAsia" w:ascii="宋体" w:hAnsi="宋体" w:cs="宋体"/>
          <w:kern w:val="0"/>
          <w:highlight w:val="none"/>
        </w:rPr>
        <w:t>磋商按</w:t>
      </w:r>
      <w:r>
        <w:rPr>
          <w:rFonts w:hint="eastAsia" w:ascii="宋体" w:hAnsi="宋体"/>
          <w:highlight w:val="none"/>
        </w:rPr>
        <w:t>本章</w:t>
      </w:r>
      <w:r>
        <w:rPr>
          <w:rFonts w:hint="eastAsia" w:hAnsi="宋体"/>
          <w:highlight w:val="none"/>
        </w:rPr>
        <w:t>第</w:t>
      </w:r>
      <w:r>
        <w:rPr>
          <w:rFonts w:ascii="宋体" w:hAnsi="宋体"/>
          <w:highlight w:val="none"/>
        </w:rPr>
        <w:t>30.1</w:t>
      </w:r>
      <w:r>
        <w:rPr>
          <w:rFonts w:hint="eastAsia" w:ascii="宋体" w:hAnsi="宋体" w:cs="宋体"/>
          <w:kern w:val="0"/>
          <w:highlight w:val="none"/>
          <w:lang w:val="zh-CN"/>
        </w:rPr>
        <w:t>款或者</w:t>
      </w:r>
      <w:r>
        <w:rPr>
          <w:rFonts w:hint="eastAsia" w:ascii="宋体" w:hAnsi="宋体"/>
          <w:highlight w:val="none"/>
        </w:rPr>
        <w:t>第</w:t>
      </w:r>
      <w:r>
        <w:rPr>
          <w:rFonts w:ascii="宋体" w:hAnsi="宋体"/>
          <w:highlight w:val="none"/>
        </w:rPr>
        <w:t>30.2</w:t>
      </w:r>
      <w:r>
        <w:rPr>
          <w:rFonts w:hint="eastAsia" w:ascii="宋体" w:hAnsi="宋体" w:cs="宋体"/>
          <w:kern w:val="0"/>
          <w:highlight w:val="none"/>
          <w:lang w:val="zh-CN"/>
        </w:rPr>
        <w:t>款</w:t>
      </w:r>
      <w:r>
        <w:rPr>
          <w:rFonts w:hint="eastAsia" w:hAnsi="宋体"/>
          <w:highlight w:val="none"/>
        </w:rPr>
        <w:t>情形</w:t>
      </w:r>
      <w:r>
        <w:rPr>
          <w:rFonts w:hint="eastAsia" w:ascii="宋体" w:hAnsi="宋体"/>
          <w:bCs/>
          <w:highlight w:val="none"/>
        </w:rPr>
        <w:t>进行。</w:t>
      </w:r>
    </w:p>
    <w:p>
      <w:pPr>
        <w:widowControl/>
        <w:adjustRightInd w:val="0"/>
        <w:snapToGrid w:val="0"/>
        <w:spacing w:line="360" w:lineRule="auto"/>
        <w:rPr>
          <w:rFonts w:ascii="宋体"/>
          <w:b/>
          <w:highlight w:val="none"/>
        </w:rPr>
      </w:pPr>
      <w:r>
        <w:rPr>
          <w:rFonts w:ascii="宋体" w:hAnsi="宋体" w:cs="宋体"/>
          <w:b/>
          <w:kern w:val="0"/>
          <w:highlight w:val="none"/>
        </w:rPr>
        <w:t>26.</w:t>
      </w:r>
      <w:r>
        <w:rPr>
          <w:rFonts w:hint="eastAsia" w:ascii="宋体" w:hAnsi="宋体" w:cs="宋体"/>
          <w:b/>
          <w:kern w:val="0"/>
          <w:highlight w:val="none"/>
        </w:rPr>
        <w:t>响应文件审查</w:t>
      </w:r>
    </w:p>
    <w:p>
      <w:pPr>
        <w:adjustRightInd w:val="0"/>
        <w:snapToGrid w:val="0"/>
        <w:spacing w:before="156" w:beforeLines="50" w:line="360" w:lineRule="auto"/>
        <w:ind w:firstLine="420" w:firstLineChars="200"/>
        <w:rPr>
          <w:rFonts w:ascii="宋体"/>
          <w:highlight w:val="none"/>
        </w:rPr>
      </w:pPr>
      <w:r>
        <w:rPr>
          <w:rFonts w:ascii="宋体" w:hAnsi="宋体"/>
          <w:highlight w:val="none"/>
        </w:rPr>
        <w:t xml:space="preserve">26.1 </w:t>
      </w:r>
      <w:r>
        <w:rPr>
          <w:rFonts w:hint="eastAsia" w:ascii="宋体" w:hAnsi="宋体"/>
          <w:highlight w:val="none"/>
        </w:rPr>
        <w:t>资格性审查：根据本章第</w:t>
      </w:r>
      <w:r>
        <w:rPr>
          <w:rFonts w:ascii="宋体" w:hAnsi="宋体"/>
          <w:highlight w:val="none"/>
        </w:rPr>
        <w:t>3.1</w:t>
      </w:r>
      <w:r>
        <w:rPr>
          <w:rFonts w:hint="eastAsia" w:ascii="宋体" w:hAnsi="宋体"/>
          <w:highlight w:val="none"/>
        </w:rPr>
        <w:t>项规定的供应商资格条件要求，对响应文件的资格证明等进行审查，以确定供应商是否具备磋商资格条件。</w:t>
      </w:r>
    </w:p>
    <w:p>
      <w:pPr>
        <w:adjustRightInd w:val="0"/>
        <w:snapToGrid w:val="0"/>
        <w:spacing w:line="360" w:lineRule="auto"/>
        <w:ind w:firstLine="420" w:firstLineChars="200"/>
        <w:rPr>
          <w:rFonts w:ascii="宋体"/>
          <w:highlight w:val="none"/>
        </w:rPr>
      </w:pPr>
      <w:r>
        <w:rPr>
          <w:rFonts w:ascii="宋体" w:hAnsi="宋体"/>
          <w:highlight w:val="none"/>
        </w:rPr>
        <w:t>26.2</w:t>
      </w:r>
      <w:r>
        <w:rPr>
          <w:rFonts w:hint="eastAsia" w:ascii="宋体" w:hAnsi="宋体"/>
          <w:highlight w:val="none"/>
        </w:rPr>
        <w:t>符合性审查</w:t>
      </w:r>
      <w:r>
        <w:rPr>
          <w:rFonts w:ascii="宋体" w:hAnsi="宋体"/>
          <w:highlight w:val="none"/>
        </w:rPr>
        <w:t xml:space="preserve">: </w:t>
      </w:r>
      <w:r>
        <w:rPr>
          <w:rFonts w:hint="eastAsia" w:ascii="宋体" w:hAnsi="宋体"/>
          <w:highlight w:val="none"/>
        </w:rPr>
        <w:t>对响应文件</w:t>
      </w:r>
      <w:r>
        <w:rPr>
          <w:rFonts w:ascii="宋体" w:hAnsi="宋体"/>
          <w:highlight w:val="none"/>
        </w:rPr>
        <w:t>(</w:t>
      </w:r>
      <w:r>
        <w:rPr>
          <w:rFonts w:hint="eastAsia" w:ascii="宋体" w:hAnsi="宋体"/>
          <w:highlight w:val="none"/>
        </w:rPr>
        <w:t>包括首次提交的响应文件、重新提交的响应文件</w:t>
      </w:r>
      <w:r>
        <w:rPr>
          <w:rFonts w:ascii="宋体" w:hAnsi="宋体"/>
          <w:highlight w:val="none"/>
        </w:rPr>
        <w:t>)</w:t>
      </w:r>
      <w:r>
        <w:rPr>
          <w:rFonts w:hint="eastAsia" w:ascii="宋体" w:hAnsi="宋体"/>
          <w:highlight w:val="none"/>
        </w:rPr>
        <w:t>的有效性、完整性和响应程度进行审查，以确定是否对磋商文件的实质性要求作出响应。</w:t>
      </w:r>
    </w:p>
    <w:p>
      <w:pPr>
        <w:adjustRightInd w:val="0"/>
        <w:snapToGrid w:val="0"/>
        <w:spacing w:line="360" w:lineRule="auto"/>
        <w:ind w:firstLine="420" w:firstLineChars="200"/>
        <w:rPr>
          <w:rFonts w:ascii="宋体"/>
          <w:highlight w:val="none"/>
        </w:rPr>
      </w:pPr>
      <w:r>
        <w:rPr>
          <w:rFonts w:ascii="宋体" w:hAnsi="宋体"/>
          <w:highlight w:val="none"/>
        </w:rPr>
        <w:t>26.3</w:t>
      </w:r>
      <w:r>
        <w:rPr>
          <w:rFonts w:hint="eastAsia" w:ascii="宋体" w:hAnsi="宋体"/>
          <w:highlight w:val="none"/>
        </w:rPr>
        <w:t>响应文件审查结束后，磋商小组所有成员集中与单一供应商分别进行磋商，并给予所有参加磋商的供应商平等的磋商机会。供应商应派其负责人或委托代理人参加磋商。</w:t>
      </w:r>
    </w:p>
    <w:p>
      <w:pPr>
        <w:pStyle w:val="11"/>
        <w:adjustRightInd w:val="0"/>
        <w:snapToGrid w:val="0"/>
        <w:spacing w:line="360" w:lineRule="auto"/>
        <w:rPr>
          <w:rFonts w:hAnsi="宋体"/>
          <w:b/>
          <w:kern w:val="0"/>
          <w:highlight w:val="none"/>
        </w:rPr>
      </w:pPr>
      <w:r>
        <w:rPr>
          <w:rFonts w:hAnsi="宋体"/>
          <w:b/>
          <w:kern w:val="0"/>
          <w:highlight w:val="none"/>
        </w:rPr>
        <w:t>27.</w:t>
      </w:r>
      <w:r>
        <w:rPr>
          <w:rFonts w:hint="eastAsia" w:hAnsi="宋体"/>
          <w:b/>
          <w:kern w:val="0"/>
          <w:highlight w:val="none"/>
        </w:rPr>
        <w:t>实质性响应</w:t>
      </w:r>
    </w:p>
    <w:p>
      <w:pPr>
        <w:pStyle w:val="11"/>
        <w:adjustRightInd w:val="0"/>
        <w:snapToGrid w:val="0"/>
        <w:spacing w:line="360" w:lineRule="auto"/>
        <w:ind w:firstLine="420" w:firstLineChars="200"/>
        <w:rPr>
          <w:rFonts w:hAnsi="宋体" w:cs="Arial"/>
          <w:kern w:val="0"/>
          <w:highlight w:val="none"/>
          <w:u w:val="single"/>
        </w:rPr>
      </w:pPr>
      <w:r>
        <w:rPr>
          <w:rFonts w:hAnsi="宋体"/>
          <w:kern w:val="0"/>
          <w:highlight w:val="none"/>
        </w:rPr>
        <w:t>27.1</w:t>
      </w:r>
      <w:r>
        <w:rPr>
          <w:rFonts w:hint="eastAsia" w:hAnsi="宋体"/>
          <w:highlight w:val="none"/>
        </w:rPr>
        <w:t>实质性响应是指响应文件</w:t>
      </w:r>
      <w:r>
        <w:rPr>
          <w:rFonts w:hAnsi="宋体"/>
          <w:highlight w:val="none"/>
        </w:rPr>
        <w:t>(</w:t>
      </w:r>
      <w:r>
        <w:rPr>
          <w:rFonts w:hint="eastAsia" w:hAnsi="宋体"/>
          <w:highlight w:val="none"/>
        </w:rPr>
        <w:t>包括首次响应文件、重新提交的响应文件</w:t>
      </w:r>
      <w:r>
        <w:rPr>
          <w:rFonts w:hAnsi="宋体"/>
          <w:highlight w:val="none"/>
        </w:rPr>
        <w:t>)</w:t>
      </w:r>
      <w:r>
        <w:rPr>
          <w:rFonts w:hint="eastAsia" w:hAnsi="宋体"/>
          <w:highlight w:val="none"/>
        </w:rPr>
        <w:t>与磋商文件要求的所有条款、条件和规格相符，没有偏离。偏离</w:t>
      </w:r>
      <w:r>
        <w:rPr>
          <w:rFonts w:hint="eastAsia"/>
          <w:highlight w:val="none"/>
        </w:rPr>
        <w:t>指不满足、或不响应</w:t>
      </w:r>
      <w:r>
        <w:rPr>
          <w:rFonts w:hint="eastAsia" w:hAnsi="宋体"/>
          <w:highlight w:val="none"/>
        </w:rPr>
        <w:t>磋商文件</w:t>
      </w:r>
      <w:r>
        <w:rPr>
          <w:rFonts w:hint="eastAsia"/>
          <w:highlight w:val="none"/>
        </w:rPr>
        <w:t>的要求。</w:t>
      </w:r>
    </w:p>
    <w:p>
      <w:pPr>
        <w:tabs>
          <w:tab w:val="left" w:pos="0"/>
          <w:tab w:val="left" w:pos="7560"/>
          <w:tab w:val="left" w:pos="7740"/>
          <w:tab w:val="left" w:pos="7920"/>
        </w:tabs>
        <w:adjustRightInd w:val="0"/>
        <w:snapToGrid w:val="0"/>
        <w:spacing w:line="360" w:lineRule="auto"/>
        <w:ind w:right="23" w:rightChars="11" w:firstLine="420" w:firstLineChars="200"/>
        <w:rPr>
          <w:rFonts w:ascii="宋体"/>
          <w:highlight w:val="none"/>
        </w:rPr>
      </w:pPr>
      <w:r>
        <w:rPr>
          <w:rFonts w:ascii="宋体" w:hAnsi="宋体"/>
          <w:highlight w:val="none"/>
        </w:rPr>
        <w:t>27.2</w:t>
      </w:r>
      <w:r>
        <w:rPr>
          <w:rFonts w:hint="eastAsia" w:ascii="宋体" w:hAnsi="宋体"/>
          <w:highlight w:val="none"/>
        </w:rPr>
        <w:t>响应文件是否实质性响应磋商文件要求由磋商小组依据磋商文件规定认定。</w:t>
      </w:r>
      <w:r>
        <w:rPr>
          <w:rFonts w:hint="eastAsia" w:ascii="宋体" w:hAnsi="宋体" w:cs="宋体"/>
          <w:kern w:val="0"/>
          <w:highlight w:val="none"/>
        </w:rPr>
        <w:t>磋商小组</w:t>
      </w:r>
      <w:r>
        <w:rPr>
          <w:rFonts w:hint="eastAsia" w:ascii="宋体" w:hAnsi="宋体"/>
          <w:highlight w:val="none"/>
        </w:rPr>
        <w:t>决定响应文件的响应性只根据响应文件本身的真实无误的内容，而不依据外部的证据。</w:t>
      </w:r>
    </w:p>
    <w:p>
      <w:pPr>
        <w:pStyle w:val="11"/>
        <w:adjustRightInd w:val="0"/>
        <w:snapToGrid w:val="0"/>
        <w:spacing w:line="360" w:lineRule="auto"/>
        <w:rPr>
          <w:b/>
          <w:kern w:val="0"/>
          <w:highlight w:val="none"/>
        </w:rPr>
      </w:pPr>
      <w:r>
        <w:rPr>
          <w:b/>
          <w:kern w:val="0"/>
          <w:highlight w:val="none"/>
        </w:rPr>
        <w:t>28.</w:t>
      </w:r>
      <w:r>
        <w:rPr>
          <w:rFonts w:hint="eastAsia"/>
          <w:b/>
          <w:kern w:val="0"/>
          <w:highlight w:val="none"/>
        </w:rPr>
        <w:t>无效响应</w:t>
      </w:r>
      <w:r>
        <w:rPr>
          <w:b/>
          <w:kern w:val="0"/>
          <w:highlight w:val="none"/>
        </w:rPr>
        <w:t xml:space="preserve"> </w:t>
      </w:r>
    </w:p>
    <w:p>
      <w:pPr>
        <w:pStyle w:val="11"/>
        <w:adjustRightInd w:val="0"/>
        <w:snapToGrid w:val="0"/>
        <w:spacing w:line="360" w:lineRule="auto"/>
        <w:ind w:firstLine="411" w:firstLineChars="196"/>
        <w:rPr>
          <w:rFonts w:hAnsi="宋体"/>
          <w:b/>
          <w:kern w:val="0"/>
          <w:highlight w:val="none"/>
        </w:rPr>
      </w:pPr>
      <w:r>
        <w:rPr>
          <w:kern w:val="0"/>
          <w:highlight w:val="none"/>
        </w:rPr>
        <w:t>28.1</w:t>
      </w:r>
      <w:r>
        <w:rPr>
          <w:rFonts w:hint="eastAsia"/>
          <w:highlight w:val="none"/>
        </w:rPr>
        <w:t>磋商小组在对资格性和符合性进行审查时，有下列情况之一的，属无效响应，</w:t>
      </w:r>
      <w:r>
        <w:rPr>
          <w:rFonts w:hint="eastAsia"/>
          <w:kern w:val="0"/>
          <w:highlight w:val="none"/>
        </w:rPr>
        <w:t>磋商小组应当告知有关供应商</w:t>
      </w:r>
      <w:r>
        <w:rPr>
          <w:rFonts w:hint="eastAsia"/>
          <w:highlight w:val="none"/>
        </w:rPr>
        <w:t>：</w:t>
      </w:r>
    </w:p>
    <w:p>
      <w:pPr>
        <w:adjustRightInd w:val="0"/>
        <w:snapToGrid w:val="0"/>
        <w:spacing w:line="360" w:lineRule="auto"/>
        <w:ind w:firstLine="420" w:firstLineChars="200"/>
        <w:rPr>
          <w:rFonts w:ascii="宋体"/>
          <w:highlight w:val="none"/>
        </w:rPr>
      </w:pPr>
      <w:r>
        <w:rPr>
          <w:rFonts w:hint="eastAsia" w:ascii="宋体" w:hAnsi="宋体"/>
          <w:highlight w:val="none"/>
        </w:rPr>
        <w:t>（</w:t>
      </w:r>
      <w:r>
        <w:rPr>
          <w:rFonts w:ascii="宋体" w:hAnsi="宋体"/>
          <w:highlight w:val="none"/>
        </w:rPr>
        <w:t>1</w:t>
      </w:r>
      <w:r>
        <w:rPr>
          <w:rFonts w:hint="eastAsia" w:ascii="宋体" w:hAnsi="宋体"/>
          <w:highlight w:val="none"/>
        </w:rPr>
        <w:t>）供应商不具备本章第</w:t>
      </w:r>
      <w:r>
        <w:rPr>
          <w:rFonts w:ascii="宋体" w:hAnsi="宋体"/>
          <w:highlight w:val="none"/>
        </w:rPr>
        <w:t>3.1</w:t>
      </w:r>
      <w:r>
        <w:rPr>
          <w:rFonts w:hint="eastAsia" w:ascii="宋体" w:hAnsi="宋体"/>
          <w:highlight w:val="none"/>
        </w:rPr>
        <w:t>款规定的供应商资格条件要求，或存在本章第</w:t>
      </w:r>
      <w:r>
        <w:rPr>
          <w:rFonts w:ascii="宋体" w:hAnsi="宋体"/>
          <w:highlight w:val="none"/>
        </w:rPr>
        <w:t>3.3</w:t>
      </w:r>
      <w:r>
        <w:rPr>
          <w:rFonts w:hint="eastAsia" w:ascii="宋体" w:hAnsi="宋体"/>
          <w:highlight w:val="none"/>
        </w:rPr>
        <w:t>款情形的；</w:t>
      </w:r>
    </w:p>
    <w:p>
      <w:pPr>
        <w:adjustRightInd w:val="0"/>
        <w:snapToGrid w:val="0"/>
        <w:spacing w:line="360" w:lineRule="auto"/>
        <w:ind w:firstLine="420" w:firstLineChars="200"/>
        <w:rPr>
          <w:rFonts w:ascii="宋体"/>
          <w:highlight w:val="none"/>
        </w:rPr>
      </w:pPr>
      <w:r>
        <w:rPr>
          <w:rFonts w:hint="eastAsia" w:ascii="宋体" w:hAnsi="宋体"/>
          <w:highlight w:val="none"/>
        </w:rPr>
        <w:t>（</w:t>
      </w:r>
      <w:r>
        <w:rPr>
          <w:rFonts w:ascii="宋体" w:hAnsi="宋体"/>
          <w:highlight w:val="none"/>
        </w:rPr>
        <w:t>2</w:t>
      </w:r>
      <w:r>
        <w:rPr>
          <w:rFonts w:hint="eastAsia" w:ascii="宋体" w:hAnsi="宋体"/>
          <w:highlight w:val="none"/>
        </w:rPr>
        <w:t>）联合体不符合本章第</w:t>
      </w:r>
      <w:r>
        <w:rPr>
          <w:rFonts w:ascii="宋体" w:hAnsi="宋体"/>
          <w:highlight w:val="none"/>
        </w:rPr>
        <w:t>3.2</w:t>
      </w:r>
      <w:r>
        <w:rPr>
          <w:rFonts w:hint="eastAsia" w:ascii="宋体" w:hAnsi="宋体"/>
          <w:highlight w:val="none"/>
        </w:rPr>
        <w:t>款规定的；</w:t>
      </w:r>
    </w:p>
    <w:p>
      <w:pPr>
        <w:adjustRightInd w:val="0"/>
        <w:snapToGrid w:val="0"/>
        <w:spacing w:line="360" w:lineRule="auto"/>
        <w:ind w:firstLine="420" w:firstLineChars="200"/>
        <w:rPr>
          <w:rFonts w:ascii="宋体"/>
          <w:highlight w:val="none"/>
        </w:rPr>
      </w:pPr>
      <w:r>
        <w:rPr>
          <w:rFonts w:hint="eastAsia" w:ascii="宋体" w:hAnsi="宋体"/>
          <w:highlight w:val="none"/>
        </w:rPr>
        <w:t>（</w:t>
      </w:r>
      <w:r>
        <w:rPr>
          <w:rFonts w:ascii="宋体" w:hAnsi="宋体"/>
          <w:highlight w:val="none"/>
        </w:rPr>
        <w:t>3</w:t>
      </w:r>
      <w:r>
        <w:rPr>
          <w:rFonts w:hint="eastAsia" w:ascii="宋体" w:hAnsi="宋体"/>
          <w:highlight w:val="none"/>
        </w:rPr>
        <w:t>）应交未交磋商保证金或金额不足、磋商保证金缴纳形式不符合磋商文件要求的；</w:t>
      </w:r>
    </w:p>
    <w:p>
      <w:pPr>
        <w:adjustRightInd w:val="0"/>
        <w:snapToGrid w:val="0"/>
        <w:spacing w:line="360" w:lineRule="auto"/>
        <w:ind w:firstLine="420" w:firstLineChars="200"/>
        <w:rPr>
          <w:rFonts w:ascii="宋体"/>
          <w:highlight w:val="none"/>
        </w:rPr>
      </w:pPr>
      <w:r>
        <w:rPr>
          <w:rFonts w:hint="eastAsia" w:ascii="宋体" w:hAnsi="宋体"/>
          <w:highlight w:val="none"/>
        </w:rPr>
        <w:t>（</w:t>
      </w:r>
      <w:r>
        <w:rPr>
          <w:rFonts w:ascii="宋体" w:hAnsi="宋体"/>
          <w:highlight w:val="none"/>
        </w:rPr>
        <w:t>4</w:t>
      </w:r>
      <w:r>
        <w:rPr>
          <w:rFonts w:hint="eastAsia" w:ascii="宋体" w:hAnsi="宋体"/>
          <w:highlight w:val="none"/>
        </w:rPr>
        <w:t>）响应文件未按照磋商文件要求签署、盖章的；</w:t>
      </w:r>
    </w:p>
    <w:p>
      <w:pPr>
        <w:adjustRightInd w:val="0"/>
        <w:snapToGrid w:val="0"/>
        <w:spacing w:line="360" w:lineRule="auto"/>
        <w:ind w:firstLine="420" w:firstLineChars="200"/>
        <w:rPr>
          <w:rFonts w:ascii="宋体"/>
          <w:highlight w:val="none"/>
        </w:rPr>
      </w:pPr>
      <w:r>
        <w:rPr>
          <w:rFonts w:hint="eastAsia" w:ascii="宋体" w:hAnsi="宋体"/>
          <w:highlight w:val="none"/>
        </w:rPr>
        <w:t>（</w:t>
      </w:r>
      <w:r>
        <w:rPr>
          <w:rFonts w:ascii="宋体" w:hAnsi="宋体"/>
          <w:highlight w:val="none"/>
        </w:rPr>
        <w:t>4</w:t>
      </w:r>
      <w:r>
        <w:rPr>
          <w:rFonts w:hint="eastAsia" w:ascii="宋体" w:hAnsi="宋体"/>
          <w:highlight w:val="none"/>
        </w:rPr>
        <w:t>）响应文件不满足本章第</w:t>
      </w:r>
      <w:r>
        <w:rPr>
          <w:rFonts w:ascii="宋体" w:hAnsi="宋体"/>
          <w:highlight w:val="none"/>
        </w:rPr>
        <w:t>27.1</w:t>
      </w:r>
      <w:r>
        <w:rPr>
          <w:rFonts w:hint="eastAsia" w:ascii="宋体" w:hAnsi="宋体"/>
          <w:highlight w:val="none"/>
        </w:rPr>
        <w:t>款规定的实质性要求的；</w:t>
      </w:r>
    </w:p>
    <w:p>
      <w:pPr>
        <w:adjustRightInd w:val="0"/>
        <w:snapToGrid w:val="0"/>
        <w:spacing w:line="360" w:lineRule="auto"/>
        <w:ind w:firstLine="420" w:firstLineChars="200"/>
        <w:rPr>
          <w:rFonts w:ascii="宋体"/>
          <w:highlight w:val="none"/>
        </w:rPr>
      </w:pPr>
      <w:r>
        <w:rPr>
          <w:rFonts w:hint="eastAsia" w:ascii="宋体" w:hAnsi="宋体"/>
          <w:highlight w:val="none"/>
        </w:rPr>
        <w:t>（</w:t>
      </w:r>
      <w:r>
        <w:rPr>
          <w:rFonts w:ascii="宋体" w:hAnsi="宋体"/>
          <w:highlight w:val="none"/>
        </w:rPr>
        <w:t>5</w:t>
      </w:r>
      <w:r>
        <w:rPr>
          <w:rFonts w:hint="eastAsia" w:ascii="宋体" w:hAnsi="宋体"/>
          <w:highlight w:val="none"/>
        </w:rPr>
        <w:t>）报价超过采购项目预算的；</w:t>
      </w:r>
    </w:p>
    <w:p>
      <w:pPr>
        <w:adjustRightInd w:val="0"/>
        <w:snapToGrid w:val="0"/>
        <w:spacing w:line="360" w:lineRule="auto"/>
        <w:ind w:firstLine="420" w:firstLineChars="200"/>
        <w:rPr>
          <w:rFonts w:ascii="宋体"/>
          <w:highlight w:val="none"/>
        </w:rPr>
      </w:pPr>
      <w:r>
        <w:rPr>
          <w:rFonts w:hint="eastAsia" w:ascii="宋体" w:hAnsi="宋体"/>
          <w:highlight w:val="none"/>
        </w:rPr>
        <w:t>（</w:t>
      </w:r>
      <w:r>
        <w:rPr>
          <w:rFonts w:ascii="宋体" w:hAnsi="宋体"/>
          <w:highlight w:val="none"/>
        </w:rPr>
        <w:t>6</w:t>
      </w:r>
      <w:r>
        <w:rPr>
          <w:rFonts w:hint="eastAsia" w:ascii="宋体" w:hAnsi="宋体"/>
          <w:highlight w:val="none"/>
        </w:rPr>
        <w:t>）响应文件有效期不足的；</w:t>
      </w:r>
    </w:p>
    <w:p>
      <w:pPr>
        <w:adjustRightInd w:val="0"/>
        <w:snapToGrid w:val="0"/>
        <w:spacing w:line="360" w:lineRule="auto"/>
        <w:ind w:firstLine="420" w:firstLineChars="200"/>
        <w:rPr>
          <w:rFonts w:ascii="宋体"/>
          <w:highlight w:val="none"/>
        </w:rPr>
      </w:pPr>
      <w:r>
        <w:rPr>
          <w:rFonts w:hint="eastAsia" w:ascii="宋体" w:hAnsi="宋体"/>
          <w:highlight w:val="none"/>
        </w:rPr>
        <w:t>（</w:t>
      </w:r>
      <w:r>
        <w:rPr>
          <w:rFonts w:ascii="宋体" w:hAnsi="宋体"/>
          <w:highlight w:val="none"/>
        </w:rPr>
        <w:t>7</w:t>
      </w:r>
      <w:r>
        <w:rPr>
          <w:rFonts w:hint="eastAsia" w:ascii="宋体" w:hAnsi="宋体"/>
          <w:highlight w:val="none"/>
        </w:rPr>
        <w:t>）响应文件不符合法律、规章、规范性文件和磋商文件规定及要求的。</w:t>
      </w:r>
    </w:p>
    <w:p>
      <w:pPr>
        <w:widowControl/>
        <w:adjustRightInd w:val="0"/>
        <w:snapToGrid w:val="0"/>
        <w:spacing w:line="360" w:lineRule="auto"/>
        <w:jc w:val="left"/>
        <w:rPr>
          <w:rFonts w:ascii="宋体" w:cs="宋体"/>
          <w:b/>
          <w:kern w:val="0"/>
          <w:highlight w:val="none"/>
        </w:rPr>
      </w:pPr>
      <w:r>
        <w:rPr>
          <w:rFonts w:ascii="宋体" w:hAnsi="宋体" w:cs="宋体"/>
          <w:b/>
          <w:kern w:val="0"/>
          <w:highlight w:val="none"/>
        </w:rPr>
        <w:t>29.</w:t>
      </w:r>
      <w:r>
        <w:rPr>
          <w:rFonts w:hint="eastAsia" w:ascii="宋体" w:hAnsi="宋体" w:cs="宋体"/>
          <w:b/>
          <w:kern w:val="0"/>
          <w:highlight w:val="none"/>
        </w:rPr>
        <w:t>澄清</w:t>
      </w:r>
    </w:p>
    <w:p>
      <w:pPr>
        <w:widowControl/>
        <w:adjustRightInd w:val="0"/>
        <w:snapToGrid w:val="0"/>
        <w:spacing w:line="360" w:lineRule="auto"/>
        <w:ind w:firstLine="420"/>
        <w:jc w:val="left"/>
        <w:rPr>
          <w:rFonts w:ascii="宋体" w:cs="宋体"/>
          <w:kern w:val="0"/>
          <w:highlight w:val="none"/>
        </w:rPr>
      </w:pPr>
      <w:r>
        <w:rPr>
          <w:rFonts w:ascii="宋体" w:hAnsi="宋体" w:cs="宋体"/>
          <w:kern w:val="0"/>
          <w:highlight w:val="none"/>
        </w:rPr>
        <w:t xml:space="preserve">29.1 </w:t>
      </w:r>
      <w:r>
        <w:rPr>
          <w:rFonts w:hint="eastAsia" w:ascii="宋体" w:hAnsi="宋体" w:cs="宋体"/>
          <w:kern w:val="0"/>
          <w:highlight w:val="none"/>
        </w:rPr>
        <w:t>磋商小组在对响应文件的有效性、完整性和对磋商文件的响应程度进行审查时，可以要求供应商对响应文件中含义不明确、同类问题表述不一致或者有明显文字和计算错误的内容等作出必要的澄清、说明或者更正。该要求应当以书面形式作出。供应商的澄清、说明或者更正应当采用书面形式，由其负责人或其委托代理人签字或者加盖公章。供应商的澄清、说明或者更正不得超出响应文件的范围或者改变响应文件的实质性内容。</w:t>
      </w:r>
    </w:p>
    <w:p>
      <w:pPr>
        <w:widowControl/>
        <w:adjustRightInd w:val="0"/>
        <w:snapToGrid w:val="0"/>
        <w:spacing w:line="360" w:lineRule="auto"/>
        <w:ind w:firstLine="420"/>
        <w:jc w:val="left"/>
        <w:rPr>
          <w:rFonts w:ascii="宋体" w:cs="宋体"/>
          <w:kern w:val="0"/>
          <w:highlight w:val="none"/>
        </w:rPr>
      </w:pPr>
      <w:r>
        <w:rPr>
          <w:rFonts w:ascii="宋体" w:hAnsi="宋体" w:cs="宋体"/>
          <w:kern w:val="0"/>
          <w:highlight w:val="none"/>
        </w:rPr>
        <w:t xml:space="preserve">29.2 </w:t>
      </w:r>
      <w:r>
        <w:rPr>
          <w:rFonts w:hint="eastAsia" w:ascii="宋体" w:hAnsi="宋体" w:cs="宋体"/>
          <w:kern w:val="0"/>
          <w:highlight w:val="none"/>
        </w:rPr>
        <w:t>最后报价计算错误修正的原则：最后报价</w:t>
      </w:r>
      <w:r>
        <w:rPr>
          <w:rFonts w:hint="eastAsia" w:ascii="宋体" w:hAnsi="宋体" w:cs="Arial"/>
          <w:kern w:val="0"/>
          <w:highlight w:val="none"/>
        </w:rPr>
        <w:t>的大写金额和小写金额不一致的，以大写金额为准；总价金额与按分项报价汇总金额不一致的，以分项报价金额计算结果为准；分项报价金额小数点有明显错位的，应以总价为准，并修改分项报价。</w:t>
      </w:r>
    </w:p>
    <w:p>
      <w:pPr>
        <w:widowControl/>
        <w:adjustRightInd w:val="0"/>
        <w:snapToGrid w:val="0"/>
        <w:spacing w:line="360" w:lineRule="auto"/>
        <w:jc w:val="left"/>
        <w:rPr>
          <w:rFonts w:ascii="宋体" w:cs="宋体"/>
          <w:b/>
          <w:kern w:val="0"/>
          <w:highlight w:val="none"/>
        </w:rPr>
      </w:pPr>
      <w:r>
        <w:rPr>
          <w:rFonts w:ascii="宋体" w:hAnsi="宋体" w:cs="宋体"/>
          <w:b/>
          <w:kern w:val="0"/>
          <w:highlight w:val="none"/>
        </w:rPr>
        <w:t>30.</w:t>
      </w:r>
      <w:r>
        <w:rPr>
          <w:rFonts w:hint="eastAsia" w:ascii="宋体" w:hAnsi="宋体" w:cs="宋体"/>
          <w:b/>
          <w:kern w:val="0"/>
          <w:highlight w:val="none"/>
        </w:rPr>
        <w:t>磋商</w:t>
      </w:r>
    </w:p>
    <w:p>
      <w:pPr>
        <w:widowControl/>
        <w:adjustRightInd w:val="0"/>
        <w:snapToGrid w:val="0"/>
        <w:spacing w:line="360" w:lineRule="auto"/>
        <w:ind w:firstLine="420"/>
        <w:jc w:val="left"/>
        <w:rPr>
          <w:rFonts w:ascii="宋体" w:cs="宋体"/>
          <w:kern w:val="0"/>
          <w:highlight w:val="none"/>
          <w:lang w:val="zh-CN"/>
        </w:rPr>
      </w:pPr>
      <w:r>
        <w:rPr>
          <w:rFonts w:ascii="宋体" w:hAnsi="宋体" w:cs="宋体"/>
          <w:kern w:val="0"/>
          <w:highlight w:val="none"/>
        </w:rPr>
        <w:t>30.1</w:t>
      </w:r>
      <w:r>
        <w:rPr>
          <w:rFonts w:hint="eastAsia" w:ascii="宋体" w:hAnsi="宋体"/>
          <w:highlight w:val="none"/>
        </w:rPr>
        <w:t>本章第</w:t>
      </w:r>
      <w:r>
        <w:rPr>
          <w:rFonts w:ascii="宋体" w:hAnsi="宋体"/>
          <w:highlight w:val="none"/>
        </w:rPr>
        <w:t>10.2</w:t>
      </w:r>
      <w:r>
        <w:rPr>
          <w:rFonts w:hint="eastAsia" w:ascii="宋体" w:hAnsi="宋体"/>
          <w:highlight w:val="none"/>
        </w:rPr>
        <w:t>项</w:t>
      </w:r>
      <w:r>
        <w:rPr>
          <w:rFonts w:hint="eastAsia" w:ascii="宋体" w:hAnsi="宋体" w:cs="宋体"/>
          <w:kern w:val="0"/>
          <w:highlight w:val="none"/>
        </w:rPr>
        <w:t>未明确磋商文件实质性变动内容的，或者磋商文件明确了可能发生实质性变动内容，但在磋商过程中，</w:t>
      </w:r>
      <w:r>
        <w:rPr>
          <w:rFonts w:hint="eastAsia" w:ascii="宋体" w:hAnsi="宋体"/>
          <w:bCs/>
          <w:highlight w:val="none"/>
        </w:rPr>
        <w:t>磋商小组</w:t>
      </w:r>
      <w:r>
        <w:rPr>
          <w:rFonts w:hint="eastAsia" w:ascii="宋体" w:hAnsi="宋体" w:cs="Arial"/>
          <w:kern w:val="0"/>
          <w:highlight w:val="none"/>
        </w:rPr>
        <w:t>根据</w:t>
      </w:r>
      <w:r>
        <w:rPr>
          <w:rFonts w:hint="eastAsia" w:ascii="宋体" w:hAnsi="宋体" w:cs="宋体"/>
          <w:kern w:val="0"/>
          <w:highlight w:val="none"/>
        </w:rPr>
        <w:t>磋商情况</w:t>
      </w:r>
      <w:r>
        <w:rPr>
          <w:rFonts w:hint="eastAsia" w:ascii="宋体" w:hAnsi="宋体"/>
          <w:bCs/>
          <w:highlight w:val="none"/>
        </w:rPr>
        <w:t>认为</w:t>
      </w:r>
      <w:r>
        <w:rPr>
          <w:rFonts w:hint="eastAsia" w:ascii="宋体" w:hAnsi="宋体" w:cs="宋体"/>
          <w:kern w:val="0"/>
          <w:highlight w:val="none"/>
        </w:rPr>
        <w:t>磋商文件无需发生实质性变动的，磋商小组应当直接与响应文件审查合格的供应商就价格组织多轮磋商。</w:t>
      </w:r>
    </w:p>
    <w:p>
      <w:pPr>
        <w:widowControl/>
        <w:tabs>
          <w:tab w:val="left" w:pos="1080"/>
          <w:tab w:val="left" w:pos="1260"/>
        </w:tabs>
        <w:adjustRightInd w:val="0"/>
        <w:snapToGrid w:val="0"/>
        <w:spacing w:line="360" w:lineRule="auto"/>
        <w:ind w:firstLine="420"/>
        <w:jc w:val="left"/>
        <w:rPr>
          <w:rFonts w:ascii="宋体" w:cs="宋体"/>
          <w:kern w:val="0"/>
          <w:highlight w:val="none"/>
        </w:rPr>
      </w:pPr>
      <w:r>
        <w:rPr>
          <w:rFonts w:hint="eastAsia" w:ascii="宋体" w:hAnsi="宋体" w:cs="宋体"/>
          <w:kern w:val="0"/>
          <w:highlight w:val="none"/>
        </w:rPr>
        <w:t>（</w:t>
      </w:r>
      <w:r>
        <w:rPr>
          <w:rFonts w:ascii="宋体" w:hAnsi="宋体" w:cs="宋体"/>
          <w:kern w:val="0"/>
          <w:highlight w:val="none"/>
        </w:rPr>
        <w:t>1</w:t>
      </w:r>
      <w:r>
        <w:rPr>
          <w:rFonts w:hint="eastAsia" w:ascii="宋体" w:hAnsi="宋体" w:cs="宋体"/>
          <w:kern w:val="0"/>
          <w:highlight w:val="none"/>
        </w:rPr>
        <w:t>）磋商结束后，磋商小组应当要求所有继续参加磋商的供应商在磋商小组规定时间内提交最后报价。</w:t>
      </w:r>
    </w:p>
    <w:p>
      <w:pPr>
        <w:widowControl/>
        <w:tabs>
          <w:tab w:val="left" w:pos="1080"/>
          <w:tab w:val="left" w:pos="1260"/>
        </w:tabs>
        <w:adjustRightInd w:val="0"/>
        <w:snapToGrid w:val="0"/>
        <w:spacing w:line="360" w:lineRule="auto"/>
        <w:ind w:firstLine="420"/>
        <w:jc w:val="left"/>
        <w:rPr>
          <w:rFonts w:ascii="宋体" w:cs="宋体"/>
          <w:kern w:val="0"/>
          <w:highlight w:val="none"/>
        </w:rPr>
      </w:pPr>
      <w:r>
        <w:rPr>
          <w:rFonts w:hint="eastAsia" w:ascii="宋体" w:hAnsi="宋体" w:cs="宋体"/>
          <w:kern w:val="0"/>
          <w:highlight w:val="none"/>
        </w:rPr>
        <w:t>（</w:t>
      </w:r>
      <w:r>
        <w:rPr>
          <w:rFonts w:ascii="宋体" w:hAnsi="宋体" w:cs="宋体"/>
          <w:kern w:val="0"/>
          <w:highlight w:val="none"/>
        </w:rPr>
        <w:t>2</w:t>
      </w:r>
      <w:r>
        <w:rPr>
          <w:rFonts w:hint="eastAsia" w:ascii="宋体" w:hAnsi="宋体" w:cs="宋体"/>
          <w:kern w:val="0"/>
          <w:highlight w:val="none"/>
        </w:rPr>
        <w:t>）磋商文件明确可能发生实质性变动，但在磋商过程中</w:t>
      </w:r>
      <w:r>
        <w:rPr>
          <w:rFonts w:hint="eastAsia" w:ascii="宋体" w:hAnsi="宋体"/>
          <w:bCs/>
          <w:highlight w:val="none"/>
        </w:rPr>
        <w:t>磋商小组</w:t>
      </w:r>
      <w:r>
        <w:rPr>
          <w:rFonts w:hint="eastAsia" w:ascii="宋体" w:hAnsi="宋体" w:cs="Arial"/>
          <w:kern w:val="0"/>
          <w:highlight w:val="none"/>
        </w:rPr>
        <w:t>根据</w:t>
      </w:r>
      <w:r>
        <w:rPr>
          <w:rFonts w:hint="eastAsia" w:ascii="宋体" w:hAnsi="宋体" w:cs="宋体"/>
          <w:kern w:val="0"/>
          <w:highlight w:val="none"/>
        </w:rPr>
        <w:t>磋商情况</w:t>
      </w:r>
      <w:r>
        <w:rPr>
          <w:rFonts w:hint="eastAsia" w:ascii="宋体" w:hAnsi="宋体"/>
          <w:bCs/>
          <w:highlight w:val="none"/>
        </w:rPr>
        <w:t>认为</w:t>
      </w:r>
      <w:r>
        <w:rPr>
          <w:rFonts w:hint="eastAsia" w:ascii="宋体" w:hAnsi="宋体" w:cs="宋体"/>
          <w:kern w:val="0"/>
          <w:highlight w:val="none"/>
        </w:rPr>
        <w:t>磋商文件无需发生实质性变动的，磋商小组不另行通知。</w:t>
      </w:r>
    </w:p>
    <w:p>
      <w:pPr>
        <w:widowControl/>
        <w:adjustRightInd w:val="0"/>
        <w:snapToGrid w:val="0"/>
        <w:spacing w:line="360" w:lineRule="auto"/>
        <w:ind w:firstLine="420"/>
        <w:jc w:val="left"/>
        <w:rPr>
          <w:rFonts w:ascii="宋体" w:cs="宋体"/>
          <w:kern w:val="0"/>
          <w:highlight w:val="none"/>
        </w:rPr>
      </w:pPr>
      <w:r>
        <w:rPr>
          <w:rFonts w:ascii="宋体" w:hAnsi="宋体" w:cs="宋体"/>
          <w:kern w:val="0"/>
          <w:highlight w:val="none"/>
        </w:rPr>
        <w:t>30.2</w:t>
      </w:r>
      <w:r>
        <w:rPr>
          <w:rFonts w:hint="eastAsia" w:ascii="宋体" w:hAnsi="宋体"/>
          <w:highlight w:val="none"/>
        </w:rPr>
        <w:t>本章第</w:t>
      </w:r>
      <w:r>
        <w:rPr>
          <w:rFonts w:ascii="宋体" w:hAnsi="宋体"/>
          <w:highlight w:val="none"/>
        </w:rPr>
        <w:t>10.2</w:t>
      </w:r>
      <w:r>
        <w:rPr>
          <w:rFonts w:hint="eastAsia" w:ascii="宋体" w:hAnsi="宋体" w:cs="宋体"/>
          <w:kern w:val="0"/>
          <w:highlight w:val="none"/>
          <w:lang w:val="zh-CN"/>
        </w:rPr>
        <w:t>款</w:t>
      </w:r>
      <w:r>
        <w:rPr>
          <w:rFonts w:hint="eastAsia" w:ascii="宋体" w:hAnsi="宋体" w:cs="宋体"/>
          <w:kern w:val="0"/>
          <w:highlight w:val="none"/>
        </w:rPr>
        <w:t>明确磋商文件实质性变动内容的，</w:t>
      </w:r>
      <w:r>
        <w:rPr>
          <w:rFonts w:hint="eastAsia" w:ascii="宋体" w:hAnsi="宋体"/>
          <w:bCs/>
          <w:highlight w:val="none"/>
        </w:rPr>
        <w:t>磋商小组</w:t>
      </w:r>
      <w:r>
        <w:rPr>
          <w:rFonts w:hint="eastAsia" w:ascii="宋体" w:hAnsi="宋体" w:cs="宋体"/>
          <w:kern w:val="0"/>
          <w:highlight w:val="none"/>
        </w:rPr>
        <w:t>可以组织多轮磋商。</w:t>
      </w:r>
      <w:r>
        <w:rPr>
          <w:rFonts w:hint="eastAsia" w:ascii="宋体" w:hAnsi="宋体"/>
          <w:bCs/>
          <w:highlight w:val="none"/>
        </w:rPr>
        <w:t>在每一轮磋商中，磋商小组</w:t>
      </w:r>
      <w:r>
        <w:rPr>
          <w:rFonts w:hint="eastAsia" w:ascii="宋体" w:hAnsi="宋体" w:cs="宋体"/>
          <w:kern w:val="0"/>
          <w:highlight w:val="none"/>
        </w:rPr>
        <w:t>可以</w:t>
      </w:r>
      <w:r>
        <w:rPr>
          <w:rFonts w:hint="eastAsia" w:ascii="宋体" w:hAnsi="宋体" w:cs="Arial"/>
          <w:kern w:val="0"/>
          <w:highlight w:val="none"/>
        </w:rPr>
        <w:t>根据</w:t>
      </w:r>
      <w:r>
        <w:rPr>
          <w:rFonts w:hint="eastAsia" w:ascii="宋体" w:hAnsi="宋体" w:cs="宋体"/>
          <w:kern w:val="0"/>
          <w:highlight w:val="none"/>
        </w:rPr>
        <w:t>磋商文件规定和磋商情况，</w:t>
      </w:r>
      <w:r>
        <w:rPr>
          <w:rFonts w:hint="eastAsia" w:ascii="宋体" w:hAnsi="宋体"/>
          <w:bCs/>
          <w:highlight w:val="none"/>
        </w:rPr>
        <w:t>对磋商文件的</w:t>
      </w:r>
      <w:r>
        <w:rPr>
          <w:rFonts w:hint="eastAsia" w:ascii="宋体" w:hAnsi="宋体" w:cs="宋体"/>
          <w:kern w:val="0"/>
          <w:highlight w:val="none"/>
        </w:rPr>
        <w:t>采购需求中的技术、服务要求以及合同草案条款</w:t>
      </w:r>
      <w:r>
        <w:rPr>
          <w:rFonts w:hint="eastAsia" w:ascii="宋体" w:hAnsi="宋体"/>
          <w:bCs/>
          <w:highlight w:val="none"/>
        </w:rPr>
        <w:t>作实质性变动</w:t>
      </w:r>
      <w:r>
        <w:rPr>
          <w:rFonts w:ascii="宋体" w:hAnsi="宋体"/>
          <w:bCs/>
          <w:highlight w:val="none"/>
        </w:rPr>
        <w:t>(</w:t>
      </w:r>
      <w:r>
        <w:rPr>
          <w:rFonts w:hint="eastAsia" w:ascii="宋体" w:hAnsi="宋体"/>
          <w:bCs/>
          <w:highlight w:val="none"/>
        </w:rPr>
        <w:t>磋商文件的实质性变动内容为磋商文件的组成部分</w:t>
      </w:r>
      <w:r>
        <w:rPr>
          <w:rFonts w:ascii="宋体" w:hAnsi="宋体"/>
          <w:bCs/>
          <w:highlight w:val="none"/>
        </w:rPr>
        <w:t>)</w:t>
      </w:r>
      <w:r>
        <w:rPr>
          <w:rFonts w:hint="eastAsia" w:ascii="宋体" w:hAnsi="宋体"/>
          <w:bCs/>
          <w:highlight w:val="none"/>
        </w:rPr>
        <w:t>，并以书面形式要求</w:t>
      </w:r>
      <w:r>
        <w:rPr>
          <w:rFonts w:hint="eastAsia" w:ascii="宋体" w:hAnsi="宋体" w:cs="宋体"/>
          <w:kern w:val="0"/>
          <w:highlight w:val="none"/>
        </w:rPr>
        <w:t>响应文件审查合格</w:t>
      </w:r>
      <w:r>
        <w:rPr>
          <w:rFonts w:hint="eastAsia" w:ascii="宋体" w:hAnsi="宋体"/>
          <w:bCs/>
          <w:highlight w:val="none"/>
        </w:rPr>
        <w:t>的供应商，在规定的</w:t>
      </w:r>
      <w:r>
        <w:rPr>
          <w:rFonts w:hint="eastAsia" w:ascii="宋体" w:hAnsi="宋体" w:cs="宋体"/>
          <w:kern w:val="0"/>
          <w:highlight w:val="none"/>
        </w:rPr>
        <w:t>截止时间前</w:t>
      </w:r>
      <w:r>
        <w:rPr>
          <w:rFonts w:hint="eastAsia" w:ascii="宋体" w:hAnsi="宋体"/>
          <w:bCs/>
          <w:highlight w:val="none"/>
        </w:rPr>
        <w:t>重</w:t>
      </w:r>
      <w:r>
        <w:rPr>
          <w:rFonts w:hint="eastAsia" w:ascii="宋体" w:hAnsi="宋体" w:cs="宋体"/>
          <w:kern w:val="0"/>
          <w:highlight w:val="none"/>
        </w:rPr>
        <w:t>新提交响应文件</w:t>
      </w:r>
      <w:r>
        <w:rPr>
          <w:rFonts w:hint="eastAsia" w:ascii="宋体" w:hAnsi="宋体"/>
          <w:bCs/>
          <w:highlight w:val="none"/>
        </w:rPr>
        <w:t>。</w:t>
      </w:r>
      <w:r>
        <w:rPr>
          <w:rFonts w:hint="eastAsia" w:ascii="宋体" w:hAnsi="宋体" w:cs="宋体"/>
          <w:kern w:val="0"/>
          <w:highlight w:val="none"/>
        </w:rPr>
        <w:t>磋商小组应当</w:t>
      </w:r>
      <w:r>
        <w:rPr>
          <w:rFonts w:hint="eastAsia" w:ascii="宋体" w:hAnsi="宋体"/>
          <w:highlight w:val="none"/>
        </w:rPr>
        <w:t>根据本章第</w:t>
      </w:r>
      <w:r>
        <w:rPr>
          <w:rFonts w:ascii="宋体" w:hAnsi="宋体"/>
          <w:highlight w:val="none"/>
        </w:rPr>
        <w:t>26.2</w:t>
      </w:r>
      <w:r>
        <w:rPr>
          <w:rFonts w:hint="eastAsia" w:ascii="宋体" w:hAnsi="宋体" w:cs="宋体"/>
          <w:kern w:val="0"/>
          <w:highlight w:val="none"/>
          <w:lang w:val="zh-CN"/>
        </w:rPr>
        <w:t>款</w:t>
      </w:r>
      <w:r>
        <w:rPr>
          <w:rFonts w:hint="eastAsia" w:ascii="宋体" w:hAnsi="宋体"/>
          <w:highlight w:val="none"/>
        </w:rPr>
        <w:t>规定</w:t>
      </w:r>
      <w:r>
        <w:rPr>
          <w:rFonts w:hint="eastAsia" w:ascii="宋体" w:hAnsi="宋体" w:cs="宋体"/>
          <w:kern w:val="0"/>
          <w:highlight w:val="none"/>
        </w:rPr>
        <w:t>对供应商重新提交的响应文件进行审查。供应商重新提交的响应文件审查不合格的，不得进入下一轮磋商，也不得要求提交最后报价。</w:t>
      </w:r>
    </w:p>
    <w:p>
      <w:pPr>
        <w:adjustRightInd w:val="0"/>
        <w:snapToGrid w:val="0"/>
        <w:spacing w:line="360" w:lineRule="auto"/>
        <w:ind w:firstLine="420" w:firstLineChars="200"/>
        <w:rPr>
          <w:rFonts w:ascii="宋体" w:cs="宋体"/>
          <w:kern w:val="0"/>
          <w:highlight w:val="none"/>
        </w:rPr>
      </w:pPr>
      <w:r>
        <w:rPr>
          <w:rFonts w:hint="eastAsia" w:ascii="宋体" w:hAnsi="宋体" w:cs="宋体"/>
          <w:kern w:val="0"/>
          <w:highlight w:val="none"/>
        </w:rPr>
        <w:t>（</w:t>
      </w:r>
      <w:r>
        <w:rPr>
          <w:rFonts w:ascii="宋体" w:hAnsi="宋体" w:cs="宋体"/>
          <w:kern w:val="0"/>
          <w:highlight w:val="none"/>
        </w:rPr>
        <w:t>1</w:t>
      </w:r>
      <w:r>
        <w:rPr>
          <w:rFonts w:hint="eastAsia" w:ascii="宋体" w:hAnsi="宋体" w:cs="宋体"/>
          <w:kern w:val="0"/>
          <w:highlight w:val="none"/>
        </w:rPr>
        <w:t>）磋商文件能够详细列明采购需求的技术、服务要求的，磋商结束后，磋商小组应当要求所有继续参加磋商的供应商在规定时间内提交最后报价。</w:t>
      </w:r>
    </w:p>
    <w:p>
      <w:pPr>
        <w:widowControl/>
        <w:adjustRightInd w:val="0"/>
        <w:snapToGrid w:val="0"/>
        <w:spacing w:line="360" w:lineRule="auto"/>
        <w:ind w:firstLine="420"/>
        <w:jc w:val="left"/>
        <w:rPr>
          <w:rFonts w:ascii="宋体" w:cs="宋体"/>
          <w:kern w:val="0"/>
          <w:highlight w:val="none"/>
        </w:rPr>
      </w:pPr>
      <w:r>
        <w:rPr>
          <w:rFonts w:hint="eastAsia" w:ascii="宋体" w:hAnsi="宋体" w:cs="宋体"/>
          <w:kern w:val="0"/>
          <w:highlight w:val="none"/>
        </w:rPr>
        <w:t>（</w:t>
      </w:r>
      <w:r>
        <w:rPr>
          <w:rFonts w:ascii="宋体" w:hAnsi="宋体" w:cs="宋体"/>
          <w:kern w:val="0"/>
          <w:highlight w:val="none"/>
        </w:rPr>
        <w:t>2</w:t>
      </w:r>
      <w:r>
        <w:rPr>
          <w:rFonts w:hint="eastAsia" w:ascii="宋体" w:hAnsi="宋体" w:cs="宋体"/>
          <w:kern w:val="0"/>
          <w:highlight w:val="none"/>
        </w:rPr>
        <w:t>）磋商文件不能详细列明采购需求的技术、服务要求，需经磋商由供应商提供最终设计方案或解决方案的，磋商结束后，磋商小组应当按照少数服从多数的原则投票推荐</w:t>
      </w:r>
      <w:r>
        <w:rPr>
          <w:rFonts w:ascii="宋体" w:hAnsi="宋体" w:cs="宋体"/>
          <w:kern w:val="0"/>
          <w:highlight w:val="none"/>
        </w:rPr>
        <w:t>3</w:t>
      </w:r>
      <w:r>
        <w:rPr>
          <w:rFonts w:hint="eastAsia" w:ascii="宋体" w:hAnsi="宋体" w:cs="宋体"/>
          <w:kern w:val="0"/>
          <w:highlight w:val="none"/>
        </w:rPr>
        <w:t>家以上供应商的设计方案或者解决方案，并要求其在规定时间内提交最后报价。</w:t>
      </w:r>
    </w:p>
    <w:p>
      <w:pPr>
        <w:widowControl/>
        <w:adjustRightInd w:val="0"/>
        <w:snapToGrid w:val="0"/>
        <w:spacing w:line="360" w:lineRule="auto"/>
        <w:ind w:firstLine="420"/>
        <w:jc w:val="left"/>
        <w:rPr>
          <w:rFonts w:ascii="宋体"/>
          <w:bCs/>
          <w:highlight w:val="none"/>
        </w:rPr>
      </w:pPr>
      <w:r>
        <w:rPr>
          <w:rFonts w:ascii="宋体" w:hAnsi="宋体"/>
          <w:bCs/>
          <w:highlight w:val="none"/>
        </w:rPr>
        <w:t>30.3</w:t>
      </w:r>
      <w:r>
        <w:rPr>
          <w:rFonts w:hint="eastAsia" w:ascii="宋体" w:hAnsi="宋体"/>
          <w:bCs/>
          <w:highlight w:val="none"/>
        </w:rPr>
        <w:t>重</w:t>
      </w:r>
      <w:r>
        <w:rPr>
          <w:rFonts w:hint="eastAsia" w:ascii="宋体" w:hAnsi="宋体" w:cs="宋体"/>
          <w:kern w:val="0"/>
          <w:highlight w:val="none"/>
        </w:rPr>
        <w:t>新提交的响应文件</w:t>
      </w:r>
      <w:r>
        <w:rPr>
          <w:rFonts w:hint="eastAsia" w:ascii="宋体" w:hAnsi="宋体"/>
          <w:highlight w:val="none"/>
        </w:rPr>
        <w:t>或者最后报价应按</w:t>
      </w:r>
      <w:r>
        <w:rPr>
          <w:rFonts w:hint="eastAsia" w:ascii="宋体" w:hAnsi="宋体" w:cs="宋体"/>
          <w:kern w:val="0"/>
          <w:highlight w:val="none"/>
        </w:rPr>
        <w:t>本章第</w:t>
      </w:r>
      <w:r>
        <w:rPr>
          <w:rFonts w:ascii="宋体" w:hAnsi="宋体"/>
          <w:highlight w:val="none"/>
        </w:rPr>
        <w:t>21.3</w:t>
      </w:r>
      <w:r>
        <w:rPr>
          <w:rFonts w:hint="eastAsia" w:ascii="宋体" w:hAnsi="宋体" w:cs="宋体"/>
          <w:kern w:val="0"/>
          <w:highlight w:val="none"/>
          <w:lang w:val="zh-CN"/>
        </w:rPr>
        <w:t>款</w:t>
      </w:r>
      <w:r>
        <w:rPr>
          <w:rFonts w:hint="eastAsia" w:ascii="宋体" w:hAnsi="宋体"/>
          <w:highlight w:val="none"/>
        </w:rPr>
        <w:t>规定，</w:t>
      </w:r>
      <w:r>
        <w:rPr>
          <w:rFonts w:hint="eastAsia" w:ascii="宋体" w:hAnsi="宋体" w:cs="宋体"/>
          <w:kern w:val="0"/>
          <w:highlight w:val="none"/>
        </w:rPr>
        <w:t>由其负责人或其委托代理人签字或者加盖供应商单位章，在规定时间内密封递交给磋商小组</w:t>
      </w:r>
      <w:r>
        <w:rPr>
          <w:rFonts w:hint="eastAsia" w:ascii="宋体" w:hAnsi="宋体"/>
          <w:bCs/>
          <w:highlight w:val="none"/>
        </w:rPr>
        <w:t>。</w:t>
      </w:r>
    </w:p>
    <w:p>
      <w:pPr>
        <w:widowControl/>
        <w:adjustRightInd w:val="0"/>
        <w:snapToGrid w:val="0"/>
        <w:spacing w:line="360" w:lineRule="auto"/>
        <w:ind w:firstLine="420"/>
        <w:jc w:val="left"/>
        <w:rPr>
          <w:rFonts w:ascii="宋体" w:cs="宋体"/>
          <w:kern w:val="0"/>
          <w:highlight w:val="none"/>
        </w:rPr>
      </w:pPr>
      <w:r>
        <w:rPr>
          <w:rFonts w:ascii="宋体" w:hAnsi="宋体" w:cs="宋体"/>
          <w:kern w:val="0"/>
          <w:highlight w:val="none"/>
        </w:rPr>
        <w:t>30.4</w:t>
      </w:r>
      <w:r>
        <w:rPr>
          <w:rFonts w:hint="eastAsia" w:ascii="宋体" w:hAnsi="宋体" w:cs="宋体"/>
          <w:kern w:val="0"/>
          <w:highlight w:val="none"/>
          <w:lang w:val="zh-CN"/>
        </w:rPr>
        <w:t>供应商的</w:t>
      </w:r>
      <w:r>
        <w:rPr>
          <w:rFonts w:hint="eastAsia" w:ascii="宋体" w:hAnsi="宋体"/>
          <w:bCs/>
          <w:highlight w:val="none"/>
        </w:rPr>
        <w:t>最</w:t>
      </w:r>
      <w:r>
        <w:rPr>
          <w:rFonts w:hint="eastAsia" w:ascii="宋体" w:hAnsi="宋体" w:cs="宋体"/>
          <w:kern w:val="0"/>
          <w:highlight w:val="none"/>
          <w:lang w:val="zh-CN"/>
        </w:rPr>
        <w:t>后</w:t>
      </w:r>
      <w:r>
        <w:rPr>
          <w:rFonts w:hint="eastAsia" w:ascii="宋体" w:hAnsi="宋体"/>
          <w:bCs/>
          <w:highlight w:val="none"/>
        </w:rPr>
        <w:t>报价及</w:t>
      </w:r>
      <w:r>
        <w:rPr>
          <w:rFonts w:hint="eastAsia" w:ascii="宋体" w:hAnsi="宋体" w:cs="宋体"/>
          <w:kern w:val="0"/>
          <w:highlight w:val="none"/>
        </w:rPr>
        <w:t>政府采购政策规定的价格扣除情况，磋商小组应召集所有参加最后报价的供应商当场开封</w:t>
      </w:r>
      <w:r>
        <w:rPr>
          <w:rFonts w:hint="eastAsia" w:ascii="宋体" w:hAnsi="宋体"/>
          <w:bCs/>
          <w:highlight w:val="none"/>
        </w:rPr>
        <w:t>公布，并由供应商代表签字确认。</w:t>
      </w:r>
    </w:p>
    <w:p>
      <w:pPr>
        <w:widowControl/>
        <w:adjustRightInd w:val="0"/>
        <w:snapToGrid w:val="0"/>
        <w:spacing w:line="360" w:lineRule="auto"/>
        <w:ind w:firstLine="420"/>
        <w:jc w:val="left"/>
        <w:rPr>
          <w:rFonts w:ascii="宋体" w:cs="宋体"/>
          <w:kern w:val="0"/>
          <w:highlight w:val="none"/>
        </w:rPr>
      </w:pPr>
      <w:r>
        <w:rPr>
          <w:rFonts w:ascii="宋体" w:hAnsi="宋体" w:cs="宋体"/>
          <w:kern w:val="0"/>
          <w:highlight w:val="none"/>
        </w:rPr>
        <w:t>30.5</w:t>
      </w:r>
      <w:r>
        <w:rPr>
          <w:rFonts w:hint="eastAsia" w:ascii="宋体" w:hAnsi="宋体" w:cs="宋体"/>
          <w:kern w:val="0"/>
          <w:highlight w:val="none"/>
        </w:rPr>
        <w:t>提交首次响应文件的供应商，在提交最后报价之前，可以根据磋商情况退出磋商，并书面通知采购代理机构或者磋商小组。</w:t>
      </w:r>
      <w:r>
        <w:rPr>
          <w:rFonts w:hint="eastAsia" w:ascii="宋体" w:hAnsi="宋体"/>
          <w:highlight w:val="none"/>
        </w:rPr>
        <w:t>该通知由供应商负责人或其委托代理人签字。</w:t>
      </w:r>
      <w:r>
        <w:rPr>
          <w:rFonts w:hint="eastAsia" w:ascii="宋体" w:hAnsi="宋体" w:cs="宋体"/>
          <w:kern w:val="0"/>
          <w:highlight w:val="none"/>
        </w:rPr>
        <w:t>采购代理机构按本章第</w:t>
      </w:r>
      <w:r>
        <w:rPr>
          <w:rFonts w:ascii="宋体" w:hAnsi="宋体"/>
          <w:highlight w:val="none"/>
        </w:rPr>
        <w:t>19.4</w:t>
      </w:r>
      <w:r>
        <w:rPr>
          <w:rFonts w:hint="eastAsia" w:ascii="宋体" w:hAnsi="宋体" w:cs="宋体"/>
          <w:kern w:val="0"/>
          <w:highlight w:val="none"/>
          <w:lang w:val="zh-CN"/>
        </w:rPr>
        <w:t>款</w:t>
      </w:r>
      <w:r>
        <w:rPr>
          <w:rFonts w:hint="eastAsia" w:ascii="宋体" w:hAnsi="宋体"/>
          <w:highlight w:val="none"/>
        </w:rPr>
        <w:t>规定</w:t>
      </w:r>
      <w:r>
        <w:rPr>
          <w:rFonts w:hint="eastAsia" w:ascii="宋体" w:hAnsi="宋体" w:cs="宋体"/>
          <w:kern w:val="0"/>
          <w:highlight w:val="none"/>
        </w:rPr>
        <w:t>退还退出磋商的供应商的磋商保证金。</w:t>
      </w:r>
    </w:p>
    <w:p>
      <w:pPr>
        <w:adjustRightInd w:val="0"/>
        <w:snapToGrid w:val="0"/>
        <w:spacing w:line="360" w:lineRule="auto"/>
        <w:ind w:firstLine="420" w:firstLineChars="200"/>
        <w:rPr>
          <w:rFonts w:ascii="宋体" w:cs="宋体"/>
          <w:kern w:val="0"/>
          <w:highlight w:val="none"/>
        </w:rPr>
      </w:pPr>
      <w:r>
        <w:rPr>
          <w:rFonts w:ascii="宋体" w:hAnsi="宋体"/>
          <w:bCs/>
          <w:highlight w:val="none"/>
        </w:rPr>
        <w:t>30.6</w:t>
      </w:r>
      <w:r>
        <w:rPr>
          <w:rFonts w:hint="eastAsia" w:ascii="宋体" w:hAnsi="宋体" w:cs="宋体"/>
          <w:kern w:val="0"/>
          <w:highlight w:val="none"/>
        </w:rPr>
        <w:t>提交首次响应文件的供应商，未按磋商文件规定及磋商小组要求提交最后报价</w:t>
      </w:r>
      <w:r>
        <w:rPr>
          <w:rFonts w:ascii="宋体" w:hAnsi="宋体" w:cs="宋体"/>
          <w:kern w:val="0"/>
          <w:highlight w:val="none"/>
        </w:rPr>
        <w:t>(</w:t>
      </w:r>
      <w:r>
        <w:rPr>
          <w:rFonts w:hint="eastAsia" w:ascii="宋体" w:hAnsi="宋体" w:cs="宋体"/>
          <w:kern w:val="0"/>
          <w:highlight w:val="none"/>
        </w:rPr>
        <w:t>或者</w:t>
      </w:r>
      <w:r>
        <w:rPr>
          <w:rFonts w:hint="eastAsia" w:ascii="宋体" w:hAnsi="宋体"/>
          <w:bCs/>
          <w:highlight w:val="none"/>
        </w:rPr>
        <w:t>重</w:t>
      </w:r>
      <w:r>
        <w:rPr>
          <w:rFonts w:hint="eastAsia" w:ascii="宋体" w:hAnsi="宋体" w:cs="宋体"/>
          <w:kern w:val="0"/>
          <w:highlight w:val="none"/>
        </w:rPr>
        <w:t>新提交的响应文件和最后报价</w:t>
      </w:r>
      <w:r>
        <w:rPr>
          <w:rFonts w:ascii="宋体" w:hAnsi="宋体" w:cs="宋体"/>
          <w:kern w:val="0"/>
          <w:highlight w:val="none"/>
        </w:rPr>
        <w:t>)</w:t>
      </w:r>
      <w:r>
        <w:rPr>
          <w:rFonts w:hint="eastAsia" w:ascii="宋体" w:hAnsi="宋体" w:cs="宋体"/>
          <w:kern w:val="0"/>
          <w:highlight w:val="none"/>
        </w:rPr>
        <w:t>，且又未按本章第</w:t>
      </w:r>
      <w:r>
        <w:rPr>
          <w:rFonts w:ascii="宋体" w:hAnsi="宋体"/>
          <w:highlight w:val="none"/>
        </w:rPr>
        <w:t>30.5</w:t>
      </w:r>
      <w:r>
        <w:rPr>
          <w:rFonts w:hint="eastAsia" w:ascii="宋体" w:hAnsi="宋体" w:cs="宋体"/>
          <w:kern w:val="0"/>
          <w:highlight w:val="none"/>
          <w:lang w:val="zh-CN"/>
        </w:rPr>
        <w:t>款</w:t>
      </w:r>
      <w:r>
        <w:rPr>
          <w:rFonts w:hint="eastAsia" w:ascii="宋体" w:hAnsi="宋体"/>
          <w:highlight w:val="none"/>
        </w:rPr>
        <w:t>规定</w:t>
      </w:r>
      <w:r>
        <w:rPr>
          <w:rFonts w:hint="eastAsia" w:ascii="宋体" w:hAnsi="宋体" w:cs="宋体"/>
          <w:kern w:val="0"/>
          <w:highlight w:val="none"/>
        </w:rPr>
        <w:t>退出磋商的，供应商的磋商保证金不予退还。</w:t>
      </w:r>
    </w:p>
    <w:p>
      <w:pPr>
        <w:adjustRightInd w:val="0"/>
        <w:snapToGrid w:val="0"/>
        <w:spacing w:line="360" w:lineRule="auto"/>
        <w:ind w:firstLine="420" w:firstLineChars="200"/>
        <w:rPr>
          <w:rFonts w:ascii="宋体" w:cs="宋体"/>
          <w:kern w:val="0"/>
          <w:highlight w:val="none"/>
        </w:rPr>
      </w:pPr>
      <w:r>
        <w:rPr>
          <w:rFonts w:ascii="宋体" w:hAnsi="宋体" w:cs="宋体"/>
          <w:kern w:val="0"/>
          <w:highlight w:val="none"/>
        </w:rPr>
        <w:t>30.7</w:t>
      </w:r>
      <w:r>
        <w:rPr>
          <w:rFonts w:hint="eastAsia" w:ascii="宋体" w:hAnsi="宋体" w:cs="宋体"/>
          <w:kern w:val="0"/>
          <w:highlight w:val="none"/>
        </w:rPr>
        <w:t>磋商文件在磋商过程中未发生实质性变动的，参加磋商供应商的次轮报价不得高于上轮报价，否则视为无效响应。</w:t>
      </w:r>
    </w:p>
    <w:p>
      <w:pPr>
        <w:widowControl/>
        <w:adjustRightInd w:val="0"/>
        <w:snapToGrid w:val="0"/>
        <w:spacing w:line="360" w:lineRule="auto"/>
        <w:jc w:val="left"/>
        <w:rPr>
          <w:rFonts w:ascii="宋体"/>
          <w:b/>
          <w:bCs/>
          <w:highlight w:val="none"/>
        </w:rPr>
      </w:pPr>
      <w:r>
        <w:rPr>
          <w:rFonts w:ascii="宋体" w:hAnsi="宋体" w:cs="宋体"/>
          <w:b/>
          <w:kern w:val="0"/>
          <w:highlight w:val="none"/>
        </w:rPr>
        <w:t>31.</w:t>
      </w:r>
      <w:r>
        <w:rPr>
          <w:rFonts w:hint="eastAsia" w:ascii="宋体" w:hAnsi="宋体" w:cs="宋体"/>
          <w:b/>
          <w:kern w:val="0"/>
          <w:highlight w:val="none"/>
        </w:rPr>
        <w:t>响应文件评审</w:t>
      </w:r>
    </w:p>
    <w:p>
      <w:pPr>
        <w:widowControl/>
        <w:adjustRightInd w:val="0"/>
        <w:snapToGrid w:val="0"/>
        <w:spacing w:line="360" w:lineRule="auto"/>
        <w:ind w:firstLine="420" w:firstLineChars="200"/>
        <w:jc w:val="left"/>
        <w:rPr>
          <w:rFonts w:ascii="宋体"/>
          <w:bCs/>
          <w:highlight w:val="none"/>
        </w:rPr>
      </w:pPr>
      <w:r>
        <w:rPr>
          <w:rFonts w:ascii="宋体" w:hAnsi="宋体"/>
          <w:bCs/>
          <w:highlight w:val="none"/>
        </w:rPr>
        <w:t>31.1</w:t>
      </w:r>
      <w:r>
        <w:rPr>
          <w:rFonts w:hint="eastAsia" w:ascii="宋体" w:hAnsi="宋体"/>
          <w:bCs/>
          <w:highlight w:val="none"/>
        </w:rPr>
        <w:t>经磋商确定最终采购需求和提交最后报价的供应商后，由磋商小组采用综合评分法对提交最后报价的供应商的响应文件和最后报价进行综合评价。</w:t>
      </w:r>
    </w:p>
    <w:p>
      <w:pPr>
        <w:widowControl/>
        <w:adjustRightInd w:val="0"/>
        <w:snapToGrid w:val="0"/>
        <w:spacing w:line="360" w:lineRule="auto"/>
        <w:ind w:firstLine="420" w:firstLineChars="200"/>
        <w:jc w:val="left"/>
        <w:rPr>
          <w:rFonts w:ascii="宋体"/>
          <w:bCs/>
          <w:highlight w:val="none"/>
        </w:rPr>
      </w:pPr>
      <w:r>
        <w:rPr>
          <w:rFonts w:ascii="宋体" w:hAnsi="宋体"/>
          <w:bCs/>
          <w:highlight w:val="none"/>
        </w:rPr>
        <w:t>31.2</w:t>
      </w:r>
      <w:r>
        <w:rPr>
          <w:rFonts w:hint="eastAsia" w:ascii="宋体" w:hAnsi="宋体"/>
          <w:bCs/>
          <w:highlight w:val="none"/>
        </w:rPr>
        <w:t>综合评分法，是指响应文件满足磋商文件全部实质性要求且按评审因素的量化指标评审得分最高的供应商为成交候选供应商的评审方法。本采购项目的评审因素和标准见</w:t>
      </w:r>
      <w:r>
        <w:rPr>
          <w:rFonts w:hint="eastAsia" w:ascii="宋体" w:hAnsi="宋体"/>
          <w:b/>
          <w:bCs/>
          <w:highlight w:val="none"/>
        </w:rPr>
        <w:t>磋商须知前附表。</w:t>
      </w:r>
    </w:p>
    <w:p>
      <w:pPr>
        <w:widowControl/>
        <w:adjustRightInd w:val="0"/>
        <w:snapToGrid w:val="0"/>
        <w:spacing w:before="156" w:beforeLines="50" w:line="360" w:lineRule="auto"/>
        <w:ind w:firstLine="420" w:firstLineChars="200"/>
        <w:jc w:val="left"/>
        <w:rPr>
          <w:rFonts w:ascii="宋体"/>
          <w:bCs/>
          <w:highlight w:val="none"/>
        </w:rPr>
      </w:pPr>
      <w:r>
        <w:rPr>
          <w:rFonts w:ascii="宋体" w:hAnsi="宋体" w:cs="宋体"/>
          <w:kern w:val="0"/>
          <w:highlight w:val="none"/>
        </w:rPr>
        <w:t>31.3</w:t>
      </w:r>
      <w:r>
        <w:rPr>
          <w:rFonts w:hint="eastAsia" w:ascii="宋体" w:hAnsi="宋体"/>
          <w:highlight w:val="none"/>
        </w:rPr>
        <w:t>最后报价调整。磋商小组以各供应商最后报价为基础，按照符合政府采购支持中小企业发展的相应条件，对供应商的最后报价进行价格扣除，用扣除后的最后报价计算价格得分，具体价格扣除比例见</w:t>
      </w:r>
      <w:r>
        <w:rPr>
          <w:rFonts w:hint="eastAsia" w:ascii="宋体" w:hAnsi="宋体"/>
          <w:b/>
          <w:highlight w:val="none"/>
        </w:rPr>
        <w:t>磋商须知前附表</w:t>
      </w:r>
      <w:r>
        <w:rPr>
          <w:rFonts w:hint="eastAsia" w:ascii="宋体" w:hAnsi="宋体"/>
          <w:highlight w:val="none"/>
        </w:rPr>
        <w:t>。</w:t>
      </w:r>
    </w:p>
    <w:p>
      <w:pPr>
        <w:widowControl/>
        <w:adjustRightInd w:val="0"/>
        <w:snapToGrid w:val="0"/>
        <w:spacing w:line="360" w:lineRule="auto"/>
        <w:ind w:firstLine="420" w:firstLineChars="200"/>
        <w:jc w:val="left"/>
        <w:rPr>
          <w:rFonts w:ascii="宋体" w:cs="宋体"/>
          <w:kern w:val="0"/>
          <w:highlight w:val="none"/>
        </w:rPr>
      </w:pPr>
      <w:r>
        <w:rPr>
          <w:rFonts w:ascii="宋体" w:hAnsi="宋体" w:cs="宋体"/>
          <w:kern w:val="0"/>
          <w:highlight w:val="none"/>
        </w:rPr>
        <w:t>31.4</w:t>
      </w:r>
      <w:r>
        <w:rPr>
          <w:rFonts w:hint="eastAsia" w:ascii="宋体" w:hAnsi="宋体" w:cs="宋体"/>
          <w:kern w:val="0"/>
          <w:highlight w:val="none"/>
        </w:rPr>
        <w:t>综合评分法中的价格分采用低价优先法计算，即满足磋商文件要求且经调整后的最后报价最低的供应商的价格为磋商基准价，其价格分为满分。其他供应商的价格分按照下列公式计算：</w:t>
      </w:r>
    </w:p>
    <w:p>
      <w:pPr>
        <w:widowControl/>
        <w:adjustRightInd w:val="0"/>
        <w:snapToGrid w:val="0"/>
        <w:spacing w:line="360" w:lineRule="auto"/>
        <w:ind w:firstLine="420" w:firstLineChars="200"/>
        <w:jc w:val="left"/>
        <w:rPr>
          <w:rFonts w:ascii="宋体" w:cs="宋体"/>
          <w:kern w:val="0"/>
          <w:highlight w:val="none"/>
        </w:rPr>
      </w:pPr>
      <w:r>
        <w:rPr>
          <w:rFonts w:hint="eastAsia" w:ascii="宋体" w:hAnsi="宋体" w:cs="宋体"/>
          <w:kern w:val="0"/>
          <w:highlight w:val="none"/>
        </w:rPr>
        <w:t>磋商报价得分</w:t>
      </w:r>
      <w:r>
        <w:rPr>
          <w:rFonts w:ascii="宋体" w:hAnsi="宋体" w:cs="宋体"/>
          <w:kern w:val="0"/>
          <w:highlight w:val="none"/>
        </w:rPr>
        <w:t>=</w:t>
      </w:r>
      <w:r>
        <w:rPr>
          <w:rFonts w:hint="eastAsia" w:ascii="宋体" w:hAnsi="宋体" w:cs="宋体"/>
          <w:kern w:val="0"/>
          <w:highlight w:val="none"/>
        </w:rPr>
        <w:t>（磋商基准价</w:t>
      </w:r>
      <w:r>
        <w:rPr>
          <w:rFonts w:ascii="宋体" w:hAnsi="宋体" w:cs="宋体"/>
          <w:kern w:val="0"/>
          <w:highlight w:val="none"/>
        </w:rPr>
        <w:t>/</w:t>
      </w:r>
      <w:r>
        <w:rPr>
          <w:rFonts w:hint="eastAsia" w:ascii="宋体" w:hAnsi="宋体" w:cs="宋体"/>
          <w:kern w:val="0"/>
          <w:highlight w:val="none"/>
        </w:rPr>
        <w:t>最后磋商报价）×价格权值×</w:t>
      </w:r>
      <w:r>
        <w:rPr>
          <w:rFonts w:ascii="宋体" w:hAnsi="宋体" w:cs="宋体"/>
          <w:kern w:val="0"/>
          <w:highlight w:val="none"/>
        </w:rPr>
        <w:t>100</w:t>
      </w:r>
    </w:p>
    <w:p>
      <w:pPr>
        <w:widowControl/>
        <w:adjustRightInd w:val="0"/>
        <w:snapToGrid w:val="0"/>
        <w:spacing w:line="360" w:lineRule="auto"/>
        <w:ind w:firstLine="420" w:firstLineChars="200"/>
        <w:jc w:val="left"/>
        <w:rPr>
          <w:rFonts w:ascii="宋体" w:cs="宋体"/>
          <w:kern w:val="0"/>
          <w:highlight w:val="none"/>
        </w:rPr>
      </w:pPr>
      <w:r>
        <w:rPr>
          <w:rFonts w:hint="eastAsia" w:ascii="宋体" w:hAnsi="宋体" w:cs="宋体"/>
          <w:kern w:val="0"/>
          <w:highlight w:val="none"/>
        </w:rPr>
        <w:t>项目评审过程中，不得去掉最后报价中的最高报价和最低报价。</w:t>
      </w:r>
    </w:p>
    <w:p>
      <w:pPr>
        <w:widowControl/>
        <w:adjustRightInd w:val="0"/>
        <w:snapToGrid w:val="0"/>
        <w:spacing w:before="156" w:beforeLines="50" w:line="360" w:lineRule="auto"/>
        <w:ind w:firstLine="420" w:firstLineChars="200"/>
        <w:jc w:val="left"/>
        <w:rPr>
          <w:rFonts w:ascii="宋体"/>
          <w:highlight w:val="none"/>
        </w:rPr>
      </w:pPr>
      <w:r>
        <w:rPr>
          <w:rFonts w:ascii="宋体" w:hAnsi="宋体"/>
          <w:bCs/>
          <w:highlight w:val="none"/>
        </w:rPr>
        <w:t>31.5</w:t>
      </w:r>
      <w:r>
        <w:rPr>
          <w:rFonts w:hint="eastAsia" w:ascii="宋体" w:hAnsi="宋体"/>
          <w:highlight w:val="none"/>
        </w:rPr>
        <w:t>涉及政府采购政策优惠对供应商分值进行调整的，</w:t>
      </w:r>
      <w:r>
        <w:rPr>
          <w:rFonts w:hint="eastAsia" w:ascii="宋体" w:hAnsi="宋体"/>
          <w:bCs/>
          <w:highlight w:val="none"/>
        </w:rPr>
        <w:t>按</w:t>
      </w:r>
      <w:r>
        <w:rPr>
          <w:rFonts w:hint="eastAsia" w:ascii="宋体" w:hAnsi="宋体"/>
          <w:b/>
          <w:highlight w:val="none"/>
        </w:rPr>
        <w:t>磋商须知前附表</w:t>
      </w:r>
      <w:r>
        <w:rPr>
          <w:rFonts w:hint="eastAsia" w:ascii="宋体" w:hAnsi="宋体"/>
          <w:bCs/>
          <w:highlight w:val="none"/>
        </w:rPr>
        <w:t>规定</w:t>
      </w:r>
      <w:r>
        <w:rPr>
          <w:rFonts w:hint="eastAsia" w:ascii="宋体" w:hAnsi="宋体"/>
          <w:highlight w:val="none"/>
        </w:rPr>
        <w:t>调整供应商的技术、商务、价格</w:t>
      </w:r>
      <w:r>
        <w:rPr>
          <w:rFonts w:hint="eastAsia" w:ascii="宋体" w:hAnsi="宋体" w:cs="宋体"/>
          <w:kern w:val="0"/>
          <w:highlight w:val="none"/>
        </w:rPr>
        <w:t>得分或总得分</w:t>
      </w:r>
      <w:r>
        <w:rPr>
          <w:rFonts w:hint="eastAsia" w:ascii="宋体" w:hAnsi="宋体"/>
          <w:highlight w:val="none"/>
        </w:rPr>
        <w:t>。</w:t>
      </w:r>
    </w:p>
    <w:p>
      <w:pPr>
        <w:adjustRightInd w:val="0"/>
        <w:snapToGrid w:val="0"/>
        <w:spacing w:before="156" w:beforeLines="50" w:line="360" w:lineRule="auto"/>
        <w:ind w:firstLine="420" w:firstLineChars="200"/>
        <w:rPr>
          <w:rFonts w:ascii="宋体"/>
          <w:highlight w:val="none"/>
        </w:rPr>
      </w:pPr>
      <w:r>
        <w:rPr>
          <w:rFonts w:ascii="宋体" w:hAnsi="宋体"/>
          <w:highlight w:val="none"/>
        </w:rPr>
        <w:t>31.6</w:t>
      </w:r>
      <w:r>
        <w:rPr>
          <w:rFonts w:hint="eastAsia" w:ascii="宋体" w:hAnsi="宋体"/>
          <w:highlight w:val="none"/>
        </w:rPr>
        <w:t>涉及多处或部分获得政府采购政策优惠的，其多处或部分享受政府采购优惠政策的计算方法见</w:t>
      </w:r>
      <w:r>
        <w:rPr>
          <w:rFonts w:hint="eastAsia" w:ascii="宋体" w:hAnsi="宋体"/>
          <w:b/>
          <w:highlight w:val="none"/>
        </w:rPr>
        <w:t>磋商须知前附表</w:t>
      </w:r>
      <w:r>
        <w:rPr>
          <w:rFonts w:hint="eastAsia" w:ascii="宋体" w:hAnsi="宋体"/>
          <w:highlight w:val="none"/>
        </w:rPr>
        <w:t>相关规定。</w:t>
      </w:r>
    </w:p>
    <w:p>
      <w:pPr>
        <w:widowControl/>
        <w:adjustRightInd w:val="0"/>
        <w:snapToGrid w:val="0"/>
        <w:spacing w:before="156" w:beforeLines="50" w:line="360" w:lineRule="auto"/>
        <w:ind w:firstLine="420" w:firstLineChars="200"/>
        <w:jc w:val="left"/>
        <w:rPr>
          <w:rFonts w:ascii="宋体"/>
          <w:highlight w:val="none"/>
        </w:rPr>
      </w:pPr>
      <w:r>
        <w:rPr>
          <w:rFonts w:ascii="宋体" w:hAnsi="宋体" w:cs="宋体"/>
          <w:kern w:val="0"/>
          <w:highlight w:val="none"/>
        </w:rPr>
        <w:t>31.7</w:t>
      </w:r>
      <w:r>
        <w:rPr>
          <w:rFonts w:hint="eastAsia" w:ascii="宋体" w:hAnsi="宋体"/>
          <w:highlight w:val="none"/>
        </w:rPr>
        <w:t>评审时，磋商小组各成员应当独立对每个供应商的</w:t>
      </w:r>
      <w:r>
        <w:rPr>
          <w:rFonts w:hint="eastAsia" w:ascii="宋体" w:hAnsi="宋体"/>
          <w:bCs/>
          <w:highlight w:val="none"/>
        </w:rPr>
        <w:t>响应文件</w:t>
      </w:r>
      <w:r>
        <w:rPr>
          <w:rFonts w:hint="eastAsia" w:ascii="宋体" w:hAnsi="宋体"/>
          <w:highlight w:val="none"/>
        </w:rPr>
        <w:t>进行评价、评分，并按照政府采购优惠政策对最后报价进行价格扣除和技术、商务、价格加分后，汇总各供应商的总得分。</w:t>
      </w:r>
    </w:p>
    <w:p>
      <w:pPr>
        <w:widowControl/>
        <w:adjustRightInd w:val="0"/>
        <w:snapToGrid w:val="0"/>
        <w:spacing w:line="360" w:lineRule="auto"/>
        <w:jc w:val="left"/>
        <w:rPr>
          <w:rFonts w:ascii="宋体"/>
          <w:b/>
          <w:bCs/>
          <w:highlight w:val="none"/>
        </w:rPr>
      </w:pPr>
      <w:r>
        <w:rPr>
          <w:rFonts w:ascii="宋体" w:hAnsi="宋体"/>
          <w:b/>
          <w:bCs/>
          <w:highlight w:val="none"/>
        </w:rPr>
        <w:t>32</w:t>
      </w:r>
      <w:r>
        <w:rPr>
          <w:rFonts w:ascii="宋体" w:cs="宋体"/>
          <w:b/>
          <w:kern w:val="0"/>
          <w:highlight w:val="none"/>
        </w:rPr>
        <w:t>.</w:t>
      </w:r>
      <w:r>
        <w:rPr>
          <w:rFonts w:hint="eastAsia" w:ascii="宋体" w:hAnsi="宋体"/>
          <w:b/>
          <w:bCs/>
          <w:highlight w:val="none"/>
        </w:rPr>
        <w:t>提出成交供应商</w:t>
      </w:r>
    </w:p>
    <w:p>
      <w:pPr>
        <w:widowControl/>
        <w:spacing w:line="420" w:lineRule="atLeast"/>
        <w:jc w:val="center"/>
        <w:rPr>
          <w:rFonts w:ascii="宋体"/>
          <w:bCs/>
          <w:highlight w:val="none"/>
        </w:rPr>
      </w:pPr>
      <w:r>
        <w:rPr>
          <w:rFonts w:ascii="宋体" w:hAnsi="宋体" w:cs="宋体"/>
          <w:kern w:val="0"/>
          <w:highlight w:val="none"/>
        </w:rPr>
        <w:t xml:space="preserve">    32.1</w:t>
      </w:r>
      <w:r>
        <w:rPr>
          <w:rFonts w:hint="eastAsia" w:ascii="宋体" w:hAnsi="宋体"/>
          <w:bCs/>
          <w:highlight w:val="none"/>
        </w:rPr>
        <w:t>磋商小组应当根据综合评分情况，按照评审得分由高到低顺序推荐</w:t>
      </w:r>
      <w:r>
        <w:rPr>
          <w:rFonts w:ascii="宋体" w:hAnsi="宋体"/>
          <w:bCs/>
          <w:highlight w:val="none"/>
        </w:rPr>
        <w:t>3</w:t>
      </w:r>
      <w:r>
        <w:rPr>
          <w:rFonts w:hint="eastAsia" w:ascii="宋体" w:hAnsi="宋体"/>
          <w:bCs/>
          <w:highlight w:val="none"/>
        </w:rPr>
        <w:t>名以上成交候选供应商，并编写评审报告。评审得分相同的，按照最后报价由低到高的顺序推荐。评审得分且最后报价相同的，按照技术指标优劣顺序推荐。符合《政府采购竞争性磋商采购方式管理暂行办法》</w:t>
      </w:r>
      <w:r>
        <w:rPr>
          <w:rFonts w:ascii="宋体" w:hAnsi="宋体"/>
          <w:bCs/>
          <w:highlight w:val="none"/>
        </w:rPr>
        <w:t>(</w:t>
      </w:r>
      <w:r>
        <w:rPr>
          <w:rFonts w:hint="eastAsia" w:ascii="宋体" w:hAnsi="宋体"/>
          <w:bCs/>
          <w:highlight w:val="none"/>
        </w:rPr>
        <w:t>财</w:t>
      </w:r>
    </w:p>
    <w:p>
      <w:pPr>
        <w:widowControl/>
        <w:spacing w:line="420" w:lineRule="atLeast"/>
        <w:rPr>
          <w:rFonts w:ascii="宋体"/>
          <w:bCs/>
          <w:highlight w:val="none"/>
        </w:rPr>
      </w:pPr>
      <w:r>
        <w:rPr>
          <w:rFonts w:hint="eastAsia" w:ascii="宋体" w:hAnsi="宋体"/>
          <w:bCs/>
          <w:highlight w:val="none"/>
        </w:rPr>
        <w:t>库〔</w:t>
      </w:r>
      <w:r>
        <w:rPr>
          <w:rFonts w:ascii="宋体" w:hAnsi="宋体"/>
          <w:bCs/>
          <w:highlight w:val="none"/>
        </w:rPr>
        <w:t>2014</w:t>
      </w:r>
      <w:r>
        <w:rPr>
          <w:rFonts w:hint="eastAsia" w:ascii="宋体" w:hAnsi="宋体"/>
          <w:bCs/>
          <w:highlight w:val="none"/>
        </w:rPr>
        <w:t>〕</w:t>
      </w:r>
      <w:r>
        <w:rPr>
          <w:rFonts w:ascii="宋体" w:hAnsi="宋体"/>
          <w:bCs/>
          <w:highlight w:val="none"/>
        </w:rPr>
        <w:t>214</w:t>
      </w:r>
      <w:r>
        <w:rPr>
          <w:rFonts w:hint="eastAsia" w:ascii="宋体" w:hAnsi="宋体"/>
          <w:bCs/>
          <w:highlight w:val="none"/>
        </w:rPr>
        <w:t>号</w:t>
      </w:r>
      <w:r>
        <w:rPr>
          <w:rFonts w:ascii="宋体" w:hAnsi="宋体"/>
          <w:bCs/>
          <w:highlight w:val="none"/>
        </w:rPr>
        <w:t>)</w:t>
      </w:r>
      <w:r>
        <w:rPr>
          <w:rFonts w:hint="eastAsia" w:ascii="宋体" w:hAnsi="宋体" w:cs="宋体"/>
          <w:kern w:val="0"/>
          <w:highlight w:val="none"/>
        </w:rPr>
        <w:t>和《财政部关于政府采购竞争性磋商采购方式管理暂行办法有关问题的补充通知》（财库〔</w:t>
      </w:r>
      <w:r>
        <w:rPr>
          <w:rFonts w:ascii="宋体" w:hAnsi="宋体" w:cs="宋体"/>
          <w:kern w:val="0"/>
          <w:highlight w:val="none"/>
        </w:rPr>
        <w:t>2015</w:t>
      </w:r>
      <w:r>
        <w:rPr>
          <w:rFonts w:hint="eastAsia" w:ascii="宋体" w:hAnsi="宋体" w:cs="宋体"/>
          <w:kern w:val="0"/>
          <w:highlight w:val="none"/>
        </w:rPr>
        <w:t>〕</w:t>
      </w:r>
      <w:r>
        <w:rPr>
          <w:rFonts w:ascii="宋体" w:hAnsi="宋体" w:cs="宋体"/>
          <w:kern w:val="0"/>
          <w:highlight w:val="none"/>
        </w:rPr>
        <w:t>124</w:t>
      </w:r>
      <w:r>
        <w:rPr>
          <w:rFonts w:hint="eastAsia" w:ascii="宋体" w:hAnsi="宋体" w:cs="宋体"/>
          <w:kern w:val="0"/>
          <w:highlight w:val="none"/>
        </w:rPr>
        <w:t>号）所列“政府购买服务项目（含政府和社会资本合作项目）、市场竞争不充分的科研项目以及需要扶持的科技成果转化项目”情形的，</w:t>
      </w:r>
      <w:r>
        <w:rPr>
          <w:rFonts w:hint="eastAsia" w:ascii="宋体" w:hAnsi="宋体"/>
          <w:bCs/>
          <w:highlight w:val="none"/>
        </w:rPr>
        <w:t>可以推荐</w:t>
      </w:r>
      <w:r>
        <w:rPr>
          <w:rFonts w:ascii="宋体" w:hAnsi="宋体"/>
          <w:bCs/>
          <w:highlight w:val="none"/>
        </w:rPr>
        <w:t>2</w:t>
      </w:r>
      <w:r>
        <w:rPr>
          <w:rFonts w:hint="eastAsia" w:ascii="宋体" w:hAnsi="宋体"/>
          <w:bCs/>
          <w:highlight w:val="none"/>
        </w:rPr>
        <w:t>家成交候选供应商。</w:t>
      </w:r>
    </w:p>
    <w:p>
      <w:pPr>
        <w:widowControl/>
        <w:spacing w:line="420" w:lineRule="atLeast"/>
        <w:rPr>
          <w:rFonts w:ascii="宋体" w:cs="宋体"/>
          <w:kern w:val="0"/>
          <w:highlight w:val="none"/>
        </w:rPr>
      </w:pPr>
    </w:p>
    <w:p>
      <w:pPr>
        <w:tabs>
          <w:tab w:val="left" w:pos="0"/>
        </w:tabs>
        <w:adjustRightInd w:val="0"/>
        <w:snapToGrid w:val="0"/>
        <w:spacing w:line="360" w:lineRule="auto"/>
        <w:rPr>
          <w:rFonts w:ascii="宋体"/>
          <w:b/>
          <w:bCs/>
          <w:highlight w:val="none"/>
        </w:rPr>
      </w:pPr>
      <w:r>
        <w:rPr>
          <w:rFonts w:ascii="宋体" w:hAnsi="宋体"/>
          <w:b/>
          <w:bCs/>
          <w:highlight w:val="none"/>
        </w:rPr>
        <w:t>33.</w:t>
      </w:r>
      <w:r>
        <w:rPr>
          <w:rFonts w:hint="eastAsia" w:ascii="宋体" w:hAnsi="宋体"/>
          <w:b/>
          <w:bCs/>
          <w:highlight w:val="none"/>
        </w:rPr>
        <w:t>确定成交供应商</w:t>
      </w:r>
    </w:p>
    <w:p>
      <w:pPr>
        <w:widowControl/>
        <w:adjustRightInd w:val="0"/>
        <w:snapToGrid w:val="0"/>
        <w:spacing w:line="360" w:lineRule="auto"/>
        <w:ind w:firstLine="420" w:firstLineChars="200"/>
        <w:jc w:val="left"/>
        <w:rPr>
          <w:rFonts w:ascii="宋体" w:cs="宋体"/>
          <w:kern w:val="0"/>
          <w:highlight w:val="none"/>
        </w:rPr>
      </w:pPr>
      <w:r>
        <w:rPr>
          <w:rFonts w:ascii="宋体" w:hAnsi="宋体" w:cs="宋体"/>
          <w:kern w:val="0"/>
          <w:highlight w:val="none"/>
        </w:rPr>
        <w:t>33.1</w:t>
      </w:r>
      <w:r>
        <w:rPr>
          <w:rFonts w:hint="eastAsia" w:ascii="宋体" w:hAnsi="宋体" w:cs="宋体"/>
          <w:kern w:val="0"/>
          <w:highlight w:val="none"/>
        </w:rPr>
        <w:t>采购代理机构应当在评审结束后</w:t>
      </w:r>
      <w:r>
        <w:rPr>
          <w:rFonts w:ascii="宋体" w:hAnsi="宋体" w:cs="宋体"/>
          <w:kern w:val="0"/>
          <w:highlight w:val="none"/>
        </w:rPr>
        <w:t>2</w:t>
      </w:r>
      <w:r>
        <w:rPr>
          <w:rFonts w:hint="eastAsia" w:ascii="宋体" w:hAnsi="宋体" w:cs="宋体"/>
          <w:kern w:val="0"/>
          <w:highlight w:val="none"/>
        </w:rPr>
        <w:t>个工作日内将评审报告送采购人确认。</w:t>
      </w:r>
    </w:p>
    <w:p>
      <w:pPr>
        <w:widowControl/>
        <w:adjustRightInd w:val="0"/>
        <w:snapToGrid w:val="0"/>
        <w:spacing w:line="360" w:lineRule="auto"/>
        <w:ind w:firstLine="420"/>
        <w:jc w:val="left"/>
        <w:rPr>
          <w:rFonts w:ascii="宋体" w:cs="宋体"/>
          <w:kern w:val="0"/>
          <w:highlight w:val="none"/>
        </w:rPr>
      </w:pPr>
      <w:r>
        <w:rPr>
          <w:rFonts w:ascii="宋体" w:hAnsi="宋体" w:cs="宋体"/>
          <w:kern w:val="0"/>
          <w:highlight w:val="none"/>
        </w:rPr>
        <w:t>33.2</w:t>
      </w:r>
      <w:r>
        <w:rPr>
          <w:rFonts w:hint="eastAsia" w:ascii="宋体" w:hAnsi="宋体" w:cs="宋体"/>
          <w:kern w:val="0"/>
          <w:highlight w:val="none"/>
        </w:rPr>
        <w:t>采购人应当在收到评审报告后</w:t>
      </w:r>
      <w:r>
        <w:rPr>
          <w:rFonts w:ascii="宋体" w:hAnsi="宋体" w:cs="宋体"/>
          <w:kern w:val="0"/>
          <w:highlight w:val="none"/>
        </w:rPr>
        <w:t>5</w:t>
      </w:r>
      <w:r>
        <w:rPr>
          <w:rFonts w:hint="eastAsia" w:ascii="宋体" w:hAnsi="宋体" w:cs="宋体"/>
          <w:kern w:val="0"/>
          <w:highlight w:val="none"/>
        </w:rPr>
        <w:t>个工作日内，从评审报告提出的成交候选供应商中，按照排序由高到低的原则确定成交供应商，也可以书面授权磋商小组直接确定成交供应商。</w:t>
      </w:r>
    </w:p>
    <w:p>
      <w:pPr>
        <w:pStyle w:val="11"/>
        <w:adjustRightInd w:val="0"/>
        <w:snapToGrid w:val="0"/>
        <w:spacing w:line="360" w:lineRule="auto"/>
        <w:ind w:left="632" w:hanging="632" w:hangingChars="300"/>
        <w:rPr>
          <w:rFonts w:hAnsi="宋体"/>
          <w:b/>
          <w:highlight w:val="none"/>
        </w:rPr>
      </w:pPr>
      <w:r>
        <w:rPr>
          <w:rFonts w:hAnsi="宋体"/>
          <w:b/>
          <w:highlight w:val="none"/>
        </w:rPr>
        <w:t>34.</w:t>
      </w:r>
      <w:r>
        <w:rPr>
          <w:rFonts w:hint="eastAsia" w:hAnsi="宋体"/>
          <w:b/>
          <w:highlight w:val="none"/>
        </w:rPr>
        <w:t>磋商终止</w:t>
      </w:r>
    </w:p>
    <w:p>
      <w:pPr>
        <w:widowControl/>
        <w:adjustRightInd w:val="0"/>
        <w:snapToGrid w:val="0"/>
        <w:spacing w:line="360" w:lineRule="auto"/>
        <w:ind w:firstLine="420" w:firstLineChars="200"/>
        <w:jc w:val="left"/>
        <w:rPr>
          <w:rFonts w:ascii="宋体" w:cs="宋体"/>
          <w:kern w:val="0"/>
          <w:highlight w:val="none"/>
        </w:rPr>
      </w:pPr>
      <w:r>
        <w:rPr>
          <w:rFonts w:ascii="宋体" w:hAnsi="宋体"/>
          <w:bCs/>
          <w:highlight w:val="none"/>
        </w:rPr>
        <w:t>34.1</w:t>
      </w:r>
      <w:r>
        <w:rPr>
          <w:rFonts w:hint="eastAsia" w:ascii="宋体" w:hAnsi="宋体" w:cs="宋体"/>
          <w:kern w:val="0"/>
          <w:highlight w:val="none"/>
        </w:rPr>
        <w:t>出现下列情形之一的，采购人或者采购代理机构应当终止竞争性磋商采购活动，</w:t>
      </w:r>
      <w:r>
        <w:rPr>
          <w:rFonts w:hint="eastAsia" w:ascii="宋体" w:hAnsi="宋体"/>
          <w:highlight w:val="none"/>
        </w:rPr>
        <w:t>在本章第</w:t>
      </w:r>
      <w:r>
        <w:rPr>
          <w:rFonts w:ascii="宋体" w:hAnsi="宋体"/>
          <w:highlight w:val="none"/>
        </w:rPr>
        <w:t>37.1</w:t>
      </w:r>
      <w:r>
        <w:rPr>
          <w:rFonts w:hint="eastAsia" w:ascii="宋体" w:hAnsi="宋体"/>
          <w:highlight w:val="none"/>
        </w:rPr>
        <w:t>款指定的媒体上</w:t>
      </w:r>
      <w:r>
        <w:rPr>
          <w:rFonts w:hint="eastAsia" w:ascii="宋体" w:hAnsi="宋体" w:cs="宋体"/>
          <w:kern w:val="0"/>
          <w:highlight w:val="none"/>
        </w:rPr>
        <w:t>发布项目终止公告并说明原因，重新开展采购活动：</w:t>
      </w:r>
      <w:r>
        <w:rPr>
          <w:rFonts w:ascii="宋体" w:hAnsi="宋体" w:cs="宋体"/>
          <w:kern w:val="0"/>
          <w:highlight w:val="none"/>
        </w:rPr>
        <w:t xml:space="preserve"> </w:t>
      </w:r>
    </w:p>
    <w:p>
      <w:pPr>
        <w:widowControl/>
        <w:adjustRightInd w:val="0"/>
        <w:snapToGrid w:val="0"/>
        <w:spacing w:line="360" w:lineRule="auto"/>
        <w:ind w:firstLine="420" w:firstLineChars="200"/>
        <w:jc w:val="left"/>
        <w:rPr>
          <w:rFonts w:ascii="宋体" w:cs="宋体"/>
          <w:kern w:val="0"/>
          <w:highlight w:val="none"/>
        </w:rPr>
      </w:pPr>
      <w:r>
        <w:rPr>
          <w:rFonts w:hint="eastAsia" w:ascii="宋体" w:hAnsi="宋体" w:cs="宋体"/>
          <w:kern w:val="0"/>
          <w:highlight w:val="none"/>
        </w:rPr>
        <w:t>（</w:t>
      </w:r>
      <w:r>
        <w:rPr>
          <w:rFonts w:ascii="宋体" w:hAnsi="宋体" w:cs="宋体"/>
          <w:kern w:val="0"/>
          <w:highlight w:val="none"/>
        </w:rPr>
        <w:t>1</w:t>
      </w:r>
      <w:r>
        <w:rPr>
          <w:rFonts w:hint="eastAsia" w:ascii="宋体" w:hAnsi="宋体" w:cs="宋体"/>
          <w:kern w:val="0"/>
          <w:highlight w:val="none"/>
        </w:rPr>
        <w:t>）因情况变化，不再符合规定的竞争性磋商采购方式适用情形的；</w:t>
      </w:r>
    </w:p>
    <w:p>
      <w:pPr>
        <w:widowControl/>
        <w:adjustRightInd w:val="0"/>
        <w:snapToGrid w:val="0"/>
        <w:spacing w:line="360" w:lineRule="auto"/>
        <w:ind w:firstLine="420"/>
        <w:jc w:val="left"/>
        <w:rPr>
          <w:rFonts w:ascii="宋体" w:cs="宋体"/>
          <w:kern w:val="0"/>
          <w:highlight w:val="none"/>
        </w:rPr>
      </w:pPr>
      <w:r>
        <w:rPr>
          <w:rFonts w:hint="eastAsia" w:ascii="宋体" w:hAnsi="宋体" w:cs="宋体"/>
          <w:kern w:val="0"/>
          <w:highlight w:val="none"/>
        </w:rPr>
        <w:t>（</w:t>
      </w:r>
      <w:r>
        <w:rPr>
          <w:rFonts w:ascii="宋体" w:hAnsi="宋体" w:cs="宋体"/>
          <w:kern w:val="0"/>
          <w:highlight w:val="none"/>
        </w:rPr>
        <w:t>2</w:t>
      </w:r>
      <w:r>
        <w:rPr>
          <w:rFonts w:hint="eastAsia" w:ascii="宋体" w:hAnsi="宋体" w:cs="宋体"/>
          <w:kern w:val="0"/>
          <w:highlight w:val="none"/>
        </w:rPr>
        <w:t>）出现影响采购公正的违法、违规行为的；</w:t>
      </w:r>
    </w:p>
    <w:p>
      <w:pPr>
        <w:widowControl/>
        <w:adjustRightInd w:val="0"/>
        <w:snapToGrid w:val="0"/>
        <w:spacing w:line="360" w:lineRule="auto"/>
        <w:ind w:firstLine="420"/>
        <w:jc w:val="left"/>
        <w:rPr>
          <w:rFonts w:ascii="宋体"/>
          <w:bCs/>
          <w:highlight w:val="none"/>
        </w:rPr>
      </w:pPr>
      <w:r>
        <w:rPr>
          <w:rFonts w:hint="eastAsia" w:ascii="宋体" w:hAnsi="宋体" w:cs="宋体"/>
          <w:kern w:val="0"/>
          <w:highlight w:val="none"/>
        </w:rPr>
        <w:t>（</w:t>
      </w:r>
      <w:r>
        <w:rPr>
          <w:rFonts w:ascii="宋体" w:hAnsi="宋体" w:cs="宋体"/>
          <w:kern w:val="0"/>
          <w:highlight w:val="none"/>
        </w:rPr>
        <w:t>3</w:t>
      </w:r>
      <w:r>
        <w:rPr>
          <w:rFonts w:hint="eastAsia" w:ascii="宋体" w:hAnsi="宋体" w:cs="宋体"/>
          <w:kern w:val="0"/>
          <w:highlight w:val="none"/>
        </w:rPr>
        <w:t>）</w:t>
      </w:r>
      <w:r>
        <w:rPr>
          <w:rFonts w:hint="eastAsia" w:ascii="宋体" w:hAnsi="宋体"/>
          <w:bCs/>
          <w:highlight w:val="none"/>
        </w:rPr>
        <w:t>除《政府采购竞争性磋商采购方式管理暂行办法》</w:t>
      </w:r>
      <w:r>
        <w:rPr>
          <w:rFonts w:ascii="宋体" w:hAnsi="宋体"/>
          <w:bCs/>
          <w:highlight w:val="none"/>
        </w:rPr>
        <w:t>(</w:t>
      </w:r>
      <w:r>
        <w:rPr>
          <w:rFonts w:hint="eastAsia" w:ascii="宋体" w:hAnsi="宋体"/>
          <w:bCs/>
          <w:highlight w:val="none"/>
        </w:rPr>
        <w:t>财库〔</w:t>
      </w:r>
      <w:r>
        <w:rPr>
          <w:rFonts w:ascii="宋体" w:hAnsi="宋体"/>
          <w:bCs/>
          <w:highlight w:val="none"/>
        </w:rPr>
        <w:t>2014</w:t>
      </w:r>
      <w:r>
        <w:rPr>
          <w:rFonts w:hint="eastAsia" w:ascii="宋体" w:hAnsi="宋体"/>
          <w:bCs/>
          <w:highlight w:val="none"/>
        </w:rPr>
        <w:t>〕</w:t>
      </w:r>
      <w:r>
        <w:rPr>
          <w:rFonts w:ascii="宋体" w:hAnsi="宋体"/>
          <w:bCs/>
          <w:highlight w:val="none"/>
        </w:rPr>
        <w:t>214</w:t>
      </w:r>
      <w:r>
        <w:rPr>
          <w:rFonts w:hint="eastAsia" w:ascii="宋体" w:hAnsi="宋体"/>
          <w:bCs/>
          <w:highlight w:val="none"/>
        </w:rPr>
        <w:t>号</w:t>
      </w:r>
      <w:r>
        <w:rPr>
          <w:rFonts w:ascii="宋体" w:hAnsi="宋体"/>
          <w:bCs/>
          <w:highlight w:val="none"/>
        </w:rPr>
        <w:t>)</w:t>
      </w:r>
      <w:r>
        <w:rPr>
          <w:rFonts w:ascii="宋体" w:hAnsi="宋体" w:cs="宋体"/>
          <w:kern w:val="0"/>
          <w:highlight w:val="none"/>
        </w:rPr>
        <w:t xml:space="preserve"> </w:t>
      </w:r>
      <w:r>
        <w:rPr>
          <w:rFonts w:hint="eastAsia" w:ascii="宋体" w:hAnsi="宋体" w:cs="宋体"/>
          <w:kern w:val="0"/>
          <w:highlight w:val="none"/>
        </w:rPr>
        <w:t>和《财政部关于政府采购竞争性磋商采购方式管理暂行办法有关问题的补充通知》（财库〔</w:t>
      </w:r>
      <w:r>
        <w:rPr>
          <w:rFonts w:ascii="宋体" w:hAnsi="宋体" w:cs="宋体"/>
          <w:kern w:val="0"/>
          <w:highlight w:val="none"/>
        </w:rPr>
        <w:t>2015</w:t>
      </w:r>
      <w:r>
        <w:rPr>
          <w:rFonts w:hint="eastAsia" w:ascii="宋体" w:hAnsi="宋体" w:cs="宋体"/>
          <w:kern w:val="0"/>
          <w:highlight w:val="none"/>
        </w:rPr>
        <w:t>〕</w:t>
      </w:r>
      <w:r>
        <w:rPr>
          <w:rFonts w:ascii="宋体" w:hAnsi="宋体" w:cs="宋体"/>
          <w:kern w:val="0"/>
          <w:highlight w:val="none"/>
        </w:rPr>
        <w:t>124</w:t>
      </w:r>
      <w:r>
        <w:rPr>
          <w:rFonts w:hint="eastAsia" w:ascii="宋体" w:hAnsi="宋体" w:cs="宋体"/>
          <w:kern w:val="0"/>
          <w:highlight w:val="none"/>
        </w:rPr>
        <w:t>号）所列“政府购买服务项目（含政府和社会资本合作项目）、市场竞争不充分的科研项目以及需要扶持的科技成果转化项目”</w:t>
      </w:r>
      <w:r>
        <w:rPr>
          <w:rFonts w:hint="eastAsia" w:ascii="宋体" w:hAnsi="宋体"/>
          <w:bCs/>
          <w:highlight w:val="none"/>
        </w:rPr>
        <w:t>情形外，在采购过程中符合要求的供应商或者报价未超过采购预算的供应商不足</w:t>
      </w:r>
      <w:r>
        <w:rPr>
          <w:rFonts w:ascii="宋体" w:hAnsi="宋体"/>
          <w:bCs/>
          <w:highlight w:val="none"/>
        </w:rPr>
        <w:t>3</w:t>
      </w:r>
      <w:r>
        <w:rPr>
          <w:rFonts w:hint="eastAsia" w:ascii="宋体" w:hAnsi="宋体"/>
          <w:bCs/>
          <w:highlight w:val="none"/>
        </w:rPr>
        <w:t>家的；</w:t>
      </w:r>
    </w:p>
    <w:p>
      <w:pPr>
        <w:widowControl/>
        <w:adjustRightInd w:val="0"/>
        <w:snapToGrid w:val="0"/>
        <w:spacing w:line="360" w:lineRule="auto"/>
        <w:ind w:firstLine="420"/>
        <w:jc w:val="left"/>
        <w:rPr>
          <w:rFonts w:ascii="宋体"/>
          <w:bCs/>
          <w:highlight w:val="none"/>
        </w:rPr>
      </w:pPr>
      <w:r>
        <w:rPr>
          <w:rFonts w:hint="eastAsia" w:ascii="宋体" w:hAnsi="宋体" w:cs="宋体"/>
          <w:kern w:val="0"/>
          <w:highlight w:val="none"/>
        </w:rPr>
        <w:t>（</w:t>
      </w:r>
      <w:r>
        <w:rPr>
          <w:rFonts w:ascii="宋体" w:hAnsi="宋体" w:cs="宋体"/>
          <w:kern w:val="0"/>
          <w:highlight w:val="none"/>
        </w:rPr>
        <w:t>4</w:t>
      </w:r>
      <w:r>
        <w:rPr>
          <w:rFonts w:hint="eastAsia" w:ascii="宋体" w:hAnsi="宋体" w:cs="宋体"/>
          <w:kern w:val="0"/>
          <w:highlight w:val="none"/>
        </w:rPr>
        <w:t>）因重大变故，采购任务取消的。</w:t>
      </w:r>
    </w:p>
    <w:p>
      <w:pPr>
        <w:widowControl/>
        <w:adjustRightInd w:val="0"/>
        <w:snapToGrid w:val="0"/>
        <w:spacing w:line="360" w:lineRule="auto"/>
        <w:jc w:val="left"/>
        <w:rPr>
          <w:rFonts w:ascii="宋体" w:cs="宋体"/>
          <w:b/>
          <w:kern w:val="0"/>
          <w:highlight w:val="none"/>
        </w:rPr>
      </w:pPr>
      <w:r>
        <w:rPr>
          <w:rFonts w:ascii="宋体" w:hAnsi="宋体" w:cs="宋体"/>
          <w:b/>
          <w:kern w:val="0"/>
          <w:highlight w:val="none"/>
        </w:rPr>
        <w:t>35</w:t>
      </w:r>
      <w:r>
        <w:rPr>
          <w:rFonts w:hint="eastAsia" w:ascii="宋体" w:hAnsi="宋体" w:cs="宋体"/>
          <w:b/>
          <w:kern w:val="0"/>
          <w:highlight w:val="none"/>
        </w:rPr>
        <w:t>．重新评审</w:t>
      </w:r>
    </w:p>
    <w:p>
      <w:pPr>
        <w:widowControl/>
        <w:adjustRightInd w:val="0"/>
        <w:snapToGrid w:val="0"/>
        <w:spacing w:line="360" w:lineRule="auto"/>
        <w:ind w:firstLine="420" w:firstLineChars="200"/>
        <w:jc w:val="left"/>
        <w:rPr>
          <w:rFonts w:ascii="宋体" w:cs="宋体"/>
          <w:kern w:val="0"/>
          <w:highlight w:val="none"/>
        </w:rPr>
      </w:pPr>
      <w:r>
        <w:rPr>
          <w:rFonts w:ascii="宋体" w:hAnsi="宋体" w:cs="宋体"/>
          <w:kern w:val="0"/>
          <w:highlight w:val="none"/>
        </w:rPr>
        <w:t>35.1</w:t>
      </w:r>
      <w:r>
        <w:rPr>
          <w:rFonts w:hint="eastAsia" w:ascii="宋体" w:hAnsi="宋体" w:cs="宋体"/>
          <w:kern w:val="0"/>
          <w:highlight w:val="none"/>
        </w:rPr>
        <w:t>除资格性检查认定错误、分值汇总计算错误、分项评分超出评分标准范围、客观分评分不一致、经磋商小组一致认定评分畸高、畸低的情形外，采购人或者采购代理机构不得以任何理由组织重新评审。采购人、采购代理机构发现磋商小组未按照磋商文件规定的评审标准进行评审的，应当重新开展采购活动。</w:t>
      </w:r>
    </w:p>
    <w:p>
      <w:pPr>
        <w:adjustRightInd w:val="0"/>
        <w:snapToGrid w:val="0"/>
        <w:spacing w:line="360" w:lineRule="auto"/>
        <w:rPr>
          <w:rFonts w:ascii="宋体"/>
          <w:b/>
          <w:bCs/>
          <w:highlight w:val="none"/>
        </w:rPr>
      </w:pPr>
      <w:r>
        <w:rPr>
          <w:rFonts w:ascii="宋体" w:hAnsi="宋体"/>
          <w:b/>
          <w:bCs/>
          <w:highlight w:val="none"/>
        </w:rPr>
        <w:t>36.</w:t>
      </w:r>
      <w:r>
        <w:rPr>
          <w:rFonts w:hint="eastAsia" w:ascii="宋体" w:hAnsi="宋体"/>
          <w:b/>
          <w:bCs/>
          <w:highlight w:val="none"/>
        </w:rPr>
        <w:t>保密及串通行为</w:t>
      </w:r>
    </w:p>
    <w:p>
      <w:pPr>
        <w:adjustRightInd w:val="0"/>
        <w:snapToGrid w:val="0"/>
        <w:spacing w:line="360" w:lineRule="auto"/>
        <w:ind w:firstLine="420" w:firstLineChars="200"/>
        <w:rPr>
          <w:rFonts w:ascii="宋体"/>
          <w:highlight w:val="none"/>
        </w:rPr>
      </w:pPr>
      <w:r>
        <w:rPr>
          <w:rFonts w:ascii="宋体" w:hAnsi="宋体"/>
          <w:highlight w:val="none"/>
        </w:rPr>
        <w:t>36.1</w:t>
      </w:r>
      <w:r>
        <w:rPr>
          <w:rFonts w:hint="eastAsia" w:ascii="宋体" w:hAnsi="宋体"/>
          <w:highlight w:val="none"/>
        </w:rPr>
        <w:t>磋商小组成员以及与评审工作有关的人员不得泄露评审情况以及评审过程中获悉的国家秘密、商业秘密。</w:t>
      </w:r>
    </w:p>
    <w:p>
      <w:pPr>
        <w:adjustRightInd w:val="0"/>
        <w:snapToGrid w:val="0"/>
        <w:spacing w:line="360" w:lineRule="auto"/>
        <w:ind w:firstLine="420" w:firstLineChars="200"/>
        <w:rPr>
          <w:rFonts w:ascii="宋体"/>
          <w:highlight w:val="none"/>
        </w:rPr>
      </w:pPr>
      <w:r>
        <w:rPr>
          <w:rFonts w:ascii="宋体" w:hAnsi="宋体"/>
          <w:highlight w:val="none"/>
        </w:rPr>
        <w:t>36.2</w:t>
      </w:r>
      <w:r>
        <w:rPr>
          <w:rFonts w:hint="eastAsia" w:ascii="宋体" w:hAnsi="宋体" w:cs="宋体"/>
          <w:kern w:val="0"/>
          <w:highlight w:val="none"/>
        </w:rPr>
        <w:t>供应商</w:t>
      </w:r>
      <w:r>
        <w:rPr>
          <w:rFonts w:hint="eastAsia" w:ascii="宋体" w:hAnsi="宋体"/>
          <w:highlight w:val="none"/>
        </w:rPr>
        <w:t>不得与</w:t>
      </w:r>
      <w:r>
        <w:rPr>
          <w:rFonts w:hint="eastAsia" w:ascii="宋体" w:hAnsi="宋体" w:cs="宋体"/>
          <w:kern w:val="0"/>
          <w:highlight w:val="none"/>
        </w:rPr>
        <w:t>采购人、采购代理机构、其他供应商恶意</w:t>
      </w:r>
      <w:r>
        <w:rPr>
          <w:rFonts w:hint="eastAsia" w:ascii="宋体" w:hAnsi="宋体"/>
          <w:highlight w:val="none"/>
        </w:rPr>
        <w:t>串通；不得向</w:t>
      </w:r>
      <w:r>
        <w:rPr>
          <w:rFonts w:hint="eastAsia" w:ascii="宋体" w:hAnsi="宋体" w:cs="宋体"/>
          <w:kern w:val="0"/>
          <w:highlight w:val="none"/>
        </w:rPr>
        <w:t>采购人、采购代理机构</w:t>
      </w:r>
      <w:r>
        <w:rPr>
          <w:rFonts w:hint="eastAsia" w:ascii="宋体" w:hAnsi="宋体"/>
          <w:highlight w:val="none"/>
        </w:rPr>
        <w:t>或者磋商小组成员行贿或者提供其他不正当利益；不得提供虚假资料谋取成交；不得以任何方式干扰、影响采购工作。</w:t>
      </w:r>
    </w:p>
    <w:p>
      <w:pPr>
        <w:pStyle w:val="17"/>
        <w:adjustRightInd w:val="0"/>
        <w:snapToGrid w:val="0"/>
        <w:spacing w:before="0" w:beforeAutospacing="0" w:after="0" w:afterAutospacing="0" w:line="360" w:lineRule="auto"/>
        <w:ind w:firstLine="420" w:firstLineChars="200"/>
        <w:rPr>
          <w:sz w:val="21"/>
          <w:szCs w:val="21"/>
          <w:highlight w:val="none"/>
          <w:lang w:val="zh-CN"/>
        </w:rPr>
      </w:pPr>
      <w:r>
        <w:rPr>
          <w:rFonts w:cs="Arial"/>
          <w:sz w:val="21"/>
          <w:szCs w:val="21"/>
          <w:highlight w:val="none"/>
        </w:rPr>
        <w:t>36.3</w:t>
      </w:r>
      <w:r>
        <w:rPr>
          <w:rFonts w:hint="eastAsia"/>
          <w:sz w:val="21"/>
          <w:szCs w:val="21"/>
          <w:highlight w:val="none"/>
          <w:lang w:val="zh-CN"/>
        </w:rPr>
        <w:t>有下列情形之一的，属于恶意串通，对供应商依照政府采购法第七十七条第一款的规定追究法律责任：</w:t>
      </w:r>
    </w:p>
    <w:p>
      <w:pPr>
        <w:pStyle w:val="17"/>
        <w:adjustRightInd w:val="0"/>
        <w:snapToGrid w:val="0"/>
        <w:spacing w:before="0" w:beforeAutospacing="0" w:after="0" w:afterAutospacing="0" w:line="360" w:lineRule="auto"/>
        <w:ind w:firstLine="420" w:firstLineChars="200"/>
        <w:rPr>
          <w:sz w:val="21"/>
          <w:szCs w:val="21"/>
          <w:highlight w:val="none"/>
          <w:lang w:val="zh-CN"/>
        </w:rPr>
      </w:pPr>
      <w:r>
        <w:rPr>
          <w:rFonts w:hint="eastAsia"/>
          <w:sz w:val="21"/>
          <w:szCs w:val="21"/>
          <w:highlight w:val="none"/>
          <w:lang w:val="zh-CN"/>
        </w:rPr>
        <w:t>（一）供应商直接或者间接从采购人或者采购代理机构处获得其他供应商的相关情况并修改其投标文件或者响应文件；</w:t>
      </w:r>
    </w:p>
    <w:p>
      <w:pPr>
        <w:pStyle w:val="17"/>
        <w:adjustRightInd w:val="0"/>
        <w:snapToGrid w:val="0"/>
        <w:spacing w:before="0" w:beforeAutospacing="0" w:after="0" w:afterAutospacing="0" w:line="360" w:lineRule="auto"/>
        <w:ind w:firstLine="420" w:firstLineChars="200"/>
        <w:rPr>
          <w:sz w:val="21"/>
          <w:szCs w:val="21"/>
          <w:highlight w:val="none"/>
          <w:lang w:val="zh-CN"/>
        </w:rPr>
      </w:pPr>
      <w:r>
        <w:rPr>
          <w:rFonts w:hint="eastAsia"/>
          <w:sz w:val="21"/>
          <w:szCs w:val="21"/>
          <w:highlight w:val="none"/>
          <w:lang w:val="zh-CN"/>
        </w:rPr>
        <w:t>（二）供应商按照采购人或者采购代理机构的授意撤换、修改投标文件或者响应文件；</w:t>
      </w:r>
    </w:p>
    <w:p>
      <w:pPr>
        <w:pStyle w:val="17"/>
        <w:adjustRightInd w:val="0"/>
        <w:snapToGrid w:val="0"/>
        <w:spacing w:before="0" w:beforeAutospacing="0" w:after="0" w:afterAutospacing="0" w:line="360" w:lineRule="auto"/>
        <w:ind w:firstLine="420" w:firstLineChars="200"/>
        <w:rPr>
          <w:sz w:val="21"/>
          <w:szCs w:val="21"/>
          <w:highlight w:val="none"/>
          <w:lang w:val="zh-CN"/>
        </w:rPr>
      </w:pPr>
      <w:r>
        <w:rPr>
          <w:rFonts w:hint="eastAsia"/>
          <w:sz w:val="21"/>
          <w:szCs w:val="21"/>
          <w:highlight w:val="none"/>
          <w:lang w:val="zh-CN"/>
        </w:rPr>
        <w:t>（三）供应商之间协商报价、技术方案等投标文件或者响应文件的实质性内容；</w:t>
      </w:r>
    </w:p>
    <w:p>
      <w:pPr>
        <w:pStyle w:val="17"/>
        <w:adjustRightInd w:val="0"/>
        <w:snapToGrid w:val="0"/>
        <w:spacing w:before="0" w:beforeAutospacing="0" w:after="0" w:afterAutospacing="0" w:line="360" w:lineRule="auto"/>
        <w:ind w:firstLine="420" w:firstLineChars="200"/>
        <w:rPr>
          <w:sz w:val="21"/>
          <w:szCs w:val="21"/>
          <w:highlight w:val="none"/>
          <w:lang w:val="zh-CN"/>
        </w:rPr>
      </w:pPr>
      <w:r>
        <w:rPr>
          <w:rFonts w:hint="eastAsia"/>
          <w:sz w:val="21"/>
          <w:szCs w:val="21"/>
          <w:highlight w:val="none"/>
          <w:lang w:val="zh-CN"/>
        </w:rPr>
        <w:t>（四）属于同一集团、协会、商会等组织成员的供应商按照该组织要求协同参加政府采购活动；</w:t>
      </w:r>
    </w:p>
    <w:p>
      <w:pPr>
        <w:pStyle w:val="17"/>
        <w:adjustRightInd w:val="0"/>
        <w:snapToGrid w:val="0"/>
        <w:spacing w:before="0" w:beforeAutospacing="0" w:after="0" w:afterAutospacing="0" w:line="360" w:lineRule="auto"/>
        <w:ind w:firstLine="420" w:firstLineChars="200"/>
        <w:rPr>
          <w:sz w:val="21"/>
          <w:szCs w:val="21"/>
          <w:highlight w:val="none"/>
          <w:lang w:val="zh-CN"/>
        </w:rPr>
      </w:pPr>
      <w:r>
        <w:rPr>
          <w:rFonts w:hint="eastAsia"/>
          <w:sz w:val="21"/>
          <w:szCs w:val="21"/>
          <w:highlight w:val="none"/>
          <w:lang w:val="zh-CN"/>
        </w:rPr>
        <w:t>（五）供应商之间事先约定由某一特定供应商中标、成交；</w:t>
      </w:r>
    </w:p>
    <w:p>
      <w:pPr>
        <w:pStyle w:val="17"/>
        <w:adjustRightInd w:val="0"/>
        <w:snapToGrid w:val="0"/>
        <w:spacing w:before="0" w:beforeAutospacing="0" w:after="0" w:afterAutospacing="0" w:line="360" w:lineRule="auto"/>
        <w:ind w:firstLine="420" w:firstLineChars="200"/>
        <w:rPr>
          <w:sz w:val="21"/>
          <w:szCs w:val="21"/>
          <w:highlight w:val="none"/>
          <w:lang w:val="zh-CN"/>
        </w:rPr>
      </w:pPr>
      <w:r>
        <w:rPr>
          <w:rFonts w:hint="eastAsia"/>
          <w:sz w:val="21"/>
          <w:szCs w:val="21"/>
          <w:highlight w:val="none"/>
          <w:lang w:val="zh-CN"/>
        </w:rPr>
        <w:t>（六）供应商之间商定部分供应商放弃参加政府采购活动或者放弃中标、成交；</w:t>
      </w:r>
    </w:p>
    <w:p>
      <w:pPr>
        <w:pStyle w:val="17"/>
        <w:adjustRightInd w:val="0"/>
        <w:snapToGrid w:val="0"/>
        <w:spacing w:before="0" w:beforeAutospacing="0" w:after="0" w:afterAutospacing="0" w:line="360" w:lineRule="auto"/>
        <w:ind w:firstLine="420" w:firstLineChars="200"/>
        <w:rPr>
          <w:sz w:val="21"/>
          <w:szCs w:val="21"/>
          <w:highlight w:val="none"/>
          <w:lang w:val="zh-CN"/>
        </w:rPr>
      </w:pPr>
      <w:r>
        <w:rPr>
          <w:rFonts w:hint="eastAsia"/>
          <w:sz w:val="21"/>
          <w:szCs w:val="21"/>
          <w:highlight w:val="none"/>
          <w:lang w:val="zh-CN"/>
        </w:rPr>
        <w:t>（七）供应商与采购人或者采购代理机构之间、供应商相互之间，为谋求特定供应商中标、成交或者排斥其他供应商的其他串通行为。</w:t>
      </w:r>
    </w:p>
    <w:p>
      <w:pPr>
        <w:adjustRightInd w:val="0"/>
        <w:snapToGrid w:val="0"/>
        <w:spacing w:line="360" w:lineRule="auto"/>
        <w:rPr>
          <w:rFonts w:ascii="黑体" w:hAnsi="宋体" w:eastAsia="黑体"/>
          <w:sz w:val="24"/>
          <w:highlight w:val="none"/>
        </w:rPr>
      </w:pPr>
      <w:r>
        <w:rPr>
          <w:rFonts w:hint="eastAsia" w:ascii="黑体" w:hAnsi="宋体" w:eastAsia="黑体"/>
          <w:sz w:val="24"/>
          <w:highlight w:val="none"/>
        </w:rPr>
        <w:t>六、成交结果信息公布与授予合同</w:t>
      </w:r>
    </w:p>
    <w:p>
      <w:pPr>
        <w:adjustRightInd w:val="0"/>
        <w:snapToGrid w:val="0"/>
        <w:spacing w:line="360" w:lineRule="auto"/>
        <w:rPr>
          <w:rFonts w:ascii="宋体"/>
          <w:b/>
          <w:bCs/>
          <w:highlight w:val="none"/>
        </w:rPr>
      </w:pPr>
      <w:r>
        <w:rPr>
          <w:rFonts w:ascii="宋体" w:hAnsi="宋体"/>
          <w:b/>
          <w:bCs/>
          <w:highlight w:val="none"/>
        </w:rPr>
        <w:t>37.</w:t>
      </w:r>
      <w:r>
        <w:rPr>
          <w:rFonts w:hint="eastAsia" w:ascii="宋体" w:hAnsi="宋体"/>
          <w:b/>
          <w:bCs/>
          <w:highlight w:val="none"/>
        </w:rPr>
        <w:t>成交信息的公布</w:t>
      </w:r>
    </w:p>
    <w:p>
      <w:pPr>
        <w:pStyle w:val="11"/>
        <w:adjustRightInd w:val="0"/>
        <w:snapToGrid w:val="0"/>
        <w:spacing w:line="360" w:lineRule="auto"/>
        <w:ind w:firstLine="420" w:firstLineChars="200"/>
        <w:rPr>
          <w:rFonts w:hAnsi="宋体"/>
          <w:highlight w:val="none"/>
        </w:rPr>
      </w:pPr>
      <w:r>
        <w:rPr>
          <w:rFonts w:hAnsi="宋体"/>
          <w:highlight w:val="none"/>
        </w:rPr>
        <w:t>37.1</w:t>
      </w:r>
      <w:r>
        <w:rPr>
          <w:rFonts w:hint="eastAsia" w:hAnsi="宋体"/>
          <w:highlight w:val="none"/>
        </w:rPr>
        <w:t>成交供应商确定后</w:t>
      </w:r>
      <w:r>
        <w:rPr>
          <w:rFonts w:hAnsi="宋体"/>
          <w:highlight w:val="none"/>
        </w:rPr>
        <w:t>2</w:t>
      </w:r>
      <w:r>
        <w:rPr>
          <w:rFonts w:hint="eastAsia" w:hAnsi="宋体"/>
          <w:highlight w:val="none"/>
        </w:rPr>
        <w:t>个工作日内，成交结果信息将在</w:t>
      </w:r>
      <w:r>
        <w:rPr>
          <w:rFonts w:hint="eastAsia" w:hAnsi="宋体"/>
          <w:b/>
          <w:highlight w:val="none"/>
        </w:rPr>
        <w:t>磋商须知前附表</w:t>
      </w:r>
      <w:r>
        <w:rPr>
          <w:rFonts w:hint="eastAsia" w:hAnsi="宋体"/>
          <w:highlight w:val="none"/>
        </w:rPr>
        <w:t>指定的媒体上公布。</w:t>
      </w:r>
    </w:p>
    <w:p>
      <w:pPr>
        <w:adjustRightInd w:val="0"/>
        <w:snapToGrid w:val="0"/>
        <w:spacing w:line="360" w:lineRule="auto"/>
        <w:rPr>
          <w:rFonts w:ascii="宋体"/>
          <w:b/>
          <w:bCs/>
          <w:highlight w:val="none"/>
        </w:rPr>
      </w:pPr>
      <w:r>
        <w:rPr>
          <w:rFonts w:ascii="宋体" w:hAnsi="宋体"/>
          <w:b/>
          <w:bCs/>
          <w:highlight w:val="none"/>
        </w:rPr>
        <w:t>38.</w:t>
      </w:r>
      <w:r>
        <w:rPr>
          <w:rFonts w:hint="eastAsia" w:ascii="宋体" w:hAnsi="宋体"/>
          <w:b/>
          <w:bCs/>
          <w:highlight w:val="none"/>
        </w:rPr>
        <w:t>询问及质疑</w:t>
      </w:r>
    </w:p>
    <w:p>
      <w:pPr>
        <w:adjustRightInd w:val="0"/>
        <w:snapToGrid w:val="0"/>
        <w:spacing w:line="360" w:lineRule="auto"/>
        <w:ind w:firstLine="420" w:firstLineChars="200"/>
        <w:jc w:val="left"/>
        <w:rPr>
          <w:rFonts w:hAnsi="宋体"/>
          <w:highlight w:val="none"/>
        </w:rPr>
      </w:pPr>
      <w:r>
        <w:rPr>
          <w:rFonts w:ascii="宋体" w:hAnsi="宋体"/>
          <w:highlight w:val="none"/>
        </w:rPr>
        <w:t>38.1</w:t>
      </w:r>
      <w:r>
        <w:rPr>
          <w:rFonts w:hint="eastAsia" w:ascii="宋体" w:hAnsi="宋体"/>
          <w:highlight w:val="none"/>
        </w:rPr>
        <w:t>供应商对政府采购活动事项有疑问的，可以向采购人或采购代理机构提出询问。</w:t>
      </w:r>
    </w:p>
    <w:p>
      <w:pPr>
        <w:adjustRightInd w:val="0"/>
        <w:snapToGrid w:val="0"/>
        <w:spacing w:line="360" w:lineRule="auto"/>
        <w:ind w:firstLine="420" w:firstLineChars="200"/>
        <w:jc w:val="left"/>
        <w:rPr>
          <w:rFonts w:ascii="宋体"/>
          <w:highlight w:val="none"/>
        </w:rPr>
      </w:pPr>
      <w:r>
        <w:rPr>
          <w:rFonts w:ascii="宋体" w:hAnsi="宋体"/>
          <w:highlight w:val="none"/>
        </w:rPr>
        <w:t>38.2</w:t>
      </w:r>
      <w:r>
        <w:rPr>
          <w:rFonts w:hint="eastAsia" w:ascii="宋体" w:hAnsi="宋体"/>
          <w:highlight w:val="none"/>
        </w:rPr>
        <w:t>供应商若认为磋商文件、采购过程和成交结果使自己的权益受到损害，可以按法律、行政法规规定向采购人或采购代理机构提出质疑。</w:t>
      </w:r>
    </w:p>
    <w:p>
      <w:pPr>
        <w:adjustRightInd w:val="0"/>
        <w:snapToGrid w:val="0"/>
        <w:spacing w:line="360" w:lineRule="auto"/>
        <w:rPr>
          <w:rFonts w:ascii="宋体"/>
          <w:b/>
          <w:bCs/>
          <w:highlight w:val="none"/>
        </w:rPr>
      </w:pPr>
      <w:r>
        <w:rPr>
          <w:rFonts w:ascii="宋体" w:hAnsi="宋体"/>
          <w:b/>
          <w:bCs/>
          <w:highlight w:val="none"/>
        </w:rPr>
        <w:t>39.</w:t>
      </w:r>
      <w:r>
        <w:rPr>
          <w:rFonts w:hint="eastAsia" w:ascii="宋体" w:hAnsi="宋体"/>
          <w:b/>
          <w:bCs/>
          <w:highlight w:val="none"/>
        </w:rPr>
        <w:t>成交通知</w:t>
      </w:r>
    </w:p>
    <w:p>
      <w:pPr>
        <w:pStyle w:val="11"/>
        <w:adjustRightInd w:val="0"/>
        <w:snapToGrid w:val="0"/>
        <w:spacing w:line="360" w:lineRule="auto"/>
        <w:ind w:firstLine="420" w:firstLineChars="200"/>
        <w:rPr>
          <w:rFonts w:hAnsi="宋体"/>
          <w:highlight w:val="none"/>
        </w:rPr>
      </w:pPr>
      <w:r>
        <w:rPr>
          <w:rFonts w:hAnsi="宋体"/>
          <w:highlight w:val="none"/>
        </w:rPr>
        <w:t>39.1</w:t>
      </w:r>
      <w:r>
        <w:rPr>
          <w:rFonts w:hint="eastAsia" w:hAnsi="宋体"/>
          <w:highlight w:val="none"/>
        </w:rPr>
        <w:t>成交供应商确定后，采购人或采购代理机构将以书面形式向成交供应商发出成交通知书。成交通知书对采购人和成交供应商具有同等法律效力。</w:t>
      </w:r>
    </w:p>
    <w:p>
      <w:pPr>
        <w:pStyle w:val="11"/>
        <w:adjustRightInd w:val="0"/>
        <w:snapToGrid w:val="0"/>
        <w:spacing w:line="360" w:lineRule="auto"/>
        <w:ind w:firstLine="420" w:firstLineChars="200"/>
        <w:rPr>
          <w:rFonts w:hAnsi="宋体"/>
          <w:highlight w:val="none"/>
        </w:rPr>
      </w:pPr>
      <w:r>
        <w:rPr>
          <w:rFonts w:hAnsi="宋体"/>
          <w:highlight w:val="none"/>
        </w:rPr>
        <w:t xml:space="preserve">39.2 </w:t>
      </w:r>
      <w:r>
        <w:rPr>
          <w:rFonts w:hint="eastAsia" w:hAnsi="宋体"/>
          <w:highlight w:val="none"/>
        </w:rPr>
        <w:t>成交通知书是合同文件的组成部分。</w:t>
      </w:r>
    </w:p>
    <w:p>
      <w:pPr>
        <w:tabs>
          <w:tab w:val="left" w:pos="7560"/>
          <w:tab w:val="left" w:pos="7740"/>
          <w:tab w:val="left" w:pos="7920"/>
        </w:tabs>
        <w:autoSpaceDN w:val="0"/>
        <w:adjustRightInd w:val="0"/>
        <w:snapToGrid w:val="0"/>
        <w:spacing w:line="360" w:lineRule="auto"/>
        <w:ind w:firstLine="420" w:firstLineChars="200"/>
        <w:rPr>
          <w:rFonts w:ascii="宋体"/>
          <w:highlight w:val="none"/>
        </w:rPr>
      </w:pPr>
      <w:r>
        <w:rPr>
          <w:rFonts w:ascii="宋体" w:hAnsi="宋体" w:cs="宋体"/>
          <w:kern w:val="0"/>
          <w:highlight w:val="none"/>
        </w:rPr>
        <w:t xml:space="preserve">39.3 </w:t>
      </w:r>
      <w:r>
        <w:rPr>
          <w:rFonts w:hint="eastAsia" w:ascii="宋体" w:hAnsi="宋体"/>
          <w:highlight w:val="none"/>
        </w:rPr>
        <w:t>成交供应商在收到采购代理机构的成交通知书后</w:t>
      </w:r>
      <w:r>
        <w:rPr>
          <w:rFonts w:ascii="宋体" w:hAnsi="宋体"/>
          <w:highlight w:val="none"/>
        </w:rPr>
        <w:t>10</w:t>
      </w:r>
      <w:r>
        <w:rPr>
          <w:rFonts w:hint="eastAsia" w:ascii="宋体" w:hAnsi="宋体"/>
          <w:highlight w:val="none"/>
        </w:rPr>
        <w:t>日内，应按照</w:t>
      </w:r>
      <w:r>
        <w:rPr>
          <w:rFonts w:hint="eastAsia" w:ascii="宋体" w:hAnsi="宋体"/>
          <w:b/>
          <w:highlight w:val="none"/>
        </w:rPr>
        <w:t>磋商须知前附表</w:t>
      </w:r>
      <w:r>
        <w:rPr>
          <w:rFonts w:hint="eastAsia" w:ascii="宋体" w:hAnsi="宋体"/>
          <w:highlight w:val="none"/>
        </w:rPr>
        <w:t>的规定，向采购人提交履约担保。联合体成交的，履约担保由联合体各方或联合体中牵头人的名义提交。</w:t>
      </w:r>
    </w:p>
    <w:p>
      <w:pPr>
        <w:pStyle w:val="11"/>
        <w:adjustRightInd w:val="0"/>
        <w:snapToGrid w:val="0"/>
        <w:spacing w:line="360" w:lineRule="auto"/>
        <w:ind w:firstLine="420" w:firstLineChars="200"/>
        <w:rPr>
          <w:rFonts w:hAnsi="宋体"/>
          <w:highlight w:val="none"/>
        </w:rPr>
      </w:pPr>
      <w:r>
        <w:rPr>
          <w:rFonts w:hAnsi="宋体"/>
          <w:highlight w:val="none"/>
        </w:rPr>
        <w:t xml:space="preserve">39.4 </w:t>
      </w:r>
      <w:r>
        <w:rPr>
          <w:rFonts w:hint="eastAsia" w:hAnsi="宋体"/>
          <w:highlight w:val="none"/>
        </w:rPr>
        <w:t>成交供应商</w:t>
      </w:r>
      <w:r>
        <w:rPr>
          <w:rFonts w:hint="eastAsia" w:hAnsi="宋体"/>
          <w:spacing w:val="4"/>
          <w:highlight w:val="none"/>
        </w:rPr>
        <w:t>没有按照本章第</w:t>
      </w:r>
      <w:r>
        <w:rPr>
          <w:rFonts w:hAnsi="宋体"/>
          <w:spacing w:val="4"/>
          <w:highlight w:val="none"/>
        </w:rPr>
        <w:t>39.3</w:t>
      </w:r>
      <w:r>
        <w:rPr>
          <w:rFonts w:hint="eastAsia" w:hAnsi="宋体"/>
          <w:kern w:val="0"/>
          <w:highlight w:val="none"/>
          <w:lang w:val="zh-CN"/>
        </w:rPr>
        <w:t>款</w:t>
      </w:r>
      <w:r>
        <w:rPr>
          <w:rFonts w:hint="eastAsia" w:hAnsi="宋体"/>
          <w:spacing w:val="4"/>
          <w:highlight w:val="none"/>
        </w:rPr>
        <w:t>规定</w:t>
      </w:r>
      <w:r>
        <w:rPr>
          <w:rFonts w:hint="eastAsia" w:hAnsi="宋体"/>
          <w:highlight w:val="none"/>
        </w:rPr>
        <w:t>提交履约担保的</w:t>
      </w:r>
      <w:r>
        <w:rPr>
          <w:rFonts w:hint="eastAsia" w:hAnsi="宋体"/>
          <w:spacing w:val="4"/>
          <w:highlight w:val="none"/>
        </w:rPr>
        <w:t>，视为放弃</w:t>
      </w:r>
      <w:r>
        <w:rPr>
          <w:rFonts w:hint="eastAsia" w:hAnsi="宋体"/>
          <w:highlight w:val="none"/>
        </w:rPr>
        <w:t>成交资格</w:t>
      </w:r>
      <w:r>
        <w:rPr>
          <w:rFonts w:hint="eastAsia" w:hAnsi="宋体"/>
          <w:spacing w:val="4"/>
          <w:highlight w:val="none"/>
        </w:rPr>
        <w:t>，</w:t>
      </w:r>
      <w:r>
        <w:rPr>
          <w:rFonts w:hint="eastAsia" w:hAnsi="宋体"/>
          <w:spacing w:val="2"/>
          <w:highlight w:val="none"/>
        </w:rPr>
        <w:t>其保证金不予退还。</w:t>
      </w:r>
    </w:p>
    <w:p>
      <w:pPr>
        <w:adjustRightInd w:val="0"/>
        <w:snapToGrid w:val="0"/>
        <w:spacing w:line="360" w:lineRule="auto"/>
        <w:rPr>
          <w:rFonts w:ascii="宋体"/>
          <w:b/>
          <w:bCs/>
          <w:highlight w:val="none"/>
        </w:rPr>
      </w:pPr>
      <w:r>
        <w:rPr>
          <w:rFonts w:ascii="宋体" w:hAnsi="宋体"/>
          <w:b/>
          <w:bCs/>
          <w:highlight w:val="none"/>
        </w:rPr>
        <w:t>40.</w:t>
      </w:r>
      <w:r>
        <w:rPr>
          <w:rFonts w:hint="eastAsia" w:ascii="宋体" w:hAnsi="宋体"/>
          <w:b/>
          <w:bCs/>
          <w:highlight w:val="none"/>
        </w:rPr>
        <w:t>签订合同</w:t>
      </w:r>
    </w:p>
    <w:p>
      <w:pPr>
        <w:pStyle w:val="11"/>
        <w:adjustRightInd w:val="0"/>
        <w:snapToGrid w:val="0"/>
        <w:spacing w:line="360" w:lineRule="auto"/>
        <w:ind w:firstLine="420" w:firstLineChars="200"/>
        <w:rPr>
          <w:rFonts w:hAnsi="宋体"/>
          <w:highlight w:val="none"/>
        </w:rPr>
      </w:pPr>
      <w:r>
        <w:rPr>
          <w:rFonts w:hAnsi="宋体"/>
          <w:highlight w:val="none"/>
        </w:rPr>
        <w:t>40.1</w:t>
      </w:r>
      <w:r>
        <w:rPr>
          <w:rFonts w:hint="eastAsia" w:hAnsi="宋体"/>
          <w:highlight w:val="none"/>
        </w:rPr>
        <w:t>成交供应商应当在成交通知书发出之日起</w:t>
      </w:r>
      <w:r>
        <w:rPr>
          <w:rFonts w:hAnsi="宋体"/>
          <w:highlight w:val="none"/>
        </w:rPr>
        <w:t>30</w:t>
      </w:r>
      <w:r>
        <w:rPr>
          <w:rFonts w:hint="eastAsia" w:hAnsi="宋体"/>
          <w:highlight w:val="none"/>
        </w:rPr>
        <w:t>日内与采购人签订采购合同。</w:t>
      </w:r>
    </w:p>
    <w:p>
      <w:pPr>
        <w:pStyle w:val="11"/>
        <w:adjustRightInd w:val="0"/>
        <w:snapToGrid w:val="0"/>
        <w:spacing w:line="360" w:lineRule="auto"/>
        <w:ind w:firstLine="420" w:firstLineChars="200"/>
        <w:rPr>
          <w:rFonts w:hAnsi="宋体"/>
          <w:highlight w:val="none"/>
        </w:rPr>
      </w:pPr>
      <w:r>
        <w:rPr>
          <w:rFonts w:hAnsi="宋体"/>
          <w:highlight w:val="none"/>
        </w:rPr>
        <w:t>40.2</w:t>
      </w:r>
      <w:r>
        <w:rPr>
          <w:rFonts w:hint="eastAsia" w:hAnsi="宋体"/>
          <w:highlight w:val="none"/>
        </w:rPr>
        <w:t>磋商文件、成交供应商的响应文件等均为签订采购合同的依据。</w:t>
      </w:r>
    </w:p>
    <w:p>
      <w:pPr>
        <w:pStyle w:val="11"/>
        <w:adjustRightInd w:val="0"/>
        <w:snapToGrid w:val="0"/>
        <w:spacing w:line="360" w:lineRule="auto"/>
        <w:ind w:firstLine="420" w:firstLineChars="200"/>
        <w:rPr>
          <w:rFonts w:hAnsi="宋体"/>
          <w:highlight w:val="none"/>
        </w:rPr>
      </w:pPr>
      <w:r>
        <w:rPr>
          <w:rFonts w:hAnsi="宋体"/>
          <w:highlight w:val="none"/>
        </w:rPr>
        <w:t xml:space="preserve">40.3 </w:t>
      </w:r>
      <w:r>
        <w:rPr>
          <w:rFonts w:hint="eastAsia" w:hAnsi="宋体"/>
          <w:highlight w:val="none"/>
        </w:rPr>
        <w:t>成交供应商应当按照合同约定履行义务。成交供应商不得向他人转让成交项目，也不得将成交项目分包后分别向他人转让。</w:t>
      </w:r>
    </w:p>
    <w:p>
      <w:pPr>
        <w:pStyle w:val="11"/>
        <w:adjustRightInd w:val="0"/>
        <w:snapToGrid w:val="0"/>
        <w:spacing w:line="360" w:lineRule="auto"/>
        <w:ind w:firstLine="420" w:firstLineChars="200"/>
        <w:rPr>
          <w:rFonts w:hAnsi="宋体"/>
          <w:highlight w:val="none"/>
        </w:rPr>
      </w:pPr>
      <w:r>
        <w:rPr>
          <w:rFonts w:hAnsi="宋体"/>
          <w:highlight w:val="none"/>
        </w:rPr>
        <w:t xml:space="preserve">40.4 </w:t>
      </w:r>
      <w:r>
        <w:rPr>
          <w:rFonts w:hint="eastAsia" w:hAnsi="宋体"/>
          <w:highlight w:val="none"/>
        </w:rPr>
        <w:t>成交供应商有下列情形之一的，责令限期改正，情节严重的，列入不良行为记录名单，在</w:t>
      </w:r>
      <w:r>
        <w:rPr>
          <w:rFonts w:hAnsi="宋体"/>
          <w:highlight w:val="none"/>
        </w:rPr>
        <w:t>1</w:t>
      </w:r>
      <w:r>
        <w:rPr>
          <w:rFonts w:hint="eastAsia" w:hAnsi="宋体"/>
          <w:highlight w:val="none"/>
        </w:rPr>
        <w:t>至</w:t>
      </w:r>
      <w:r>
        <w:rPr>
          <w:rFonts w:hAnsi="宋体"/>
          <w:highlight w:val="none"/>
        </w:rPr>
        <w:t>3</w:t>
      </w:r>
      <w:r>
        <w:rPr>
          <w:rFonts w:hint="eastAsia" w:hAnsi="宋体"/>
          <w:highlight w:val="none"/>
        </w:rPr>
        <w:t>年内禁止参加政府采购活动，并予以通报：</w:t>
      </w:r>
    </w:p>
    <w:p>
      <w:pPr>
        <w:pStyle w:val="11"/>
        <w:adjustRightInd w:val="0"/>
        <w:snapToGrid w:val="0"/>
        <w:spacing w:line="360" w:lineRule="auto"/>
        <w:ind w:firstLine="420" w:firstLineChars="200"/>
        <w:rPr>
          <w:rFonts w:hAnsi="宋体"/>
          <w:highlight w:val="none"/>
        </w:rPr>
      </w:pPr>
      <w:r>
        <w:rPr>
          <w:rFonts w:hint="eastAsia" w:hAnsi="宋体"/>
          <w:highlight w:val="none"/>
        </w:rPr>
        <w:t>（一）成交后无正当理由不与采购人签订合同的；</w:t>
      </w:r>
    </w:p>
    <w:p>
      <w:pPr>
        <w:pStyle w:val="11"/>
        <w:adjustRightInd w:val="0"/>
        <w:snapToGrid w:val="0"/>
        <w:spacing w:line="360" w:lineRule="auto"/>
        <w:ind w:firstLine="420" w:firstLineChars="200"/>
        <w:rPr>
          <w:rFonts w:hAnsi="宋体"/>
          <w:highlight w:val="none"/>
        </w:rPr>
      </w:pPr>
      <w:r>
        <w:rPr>
          <w:rFonts w:hint="eastAsia" w:hAnsi="宋体"/>
          <w:highlight w:val="none"/>
        </w:rPr>
        <w:t>（二）未按照采购文件确定的事项签订采购合同，或者与采购人另行订立背离合同实质性内容的协议的；</w:t>
      </w:r>
    </w:p>
    <w:p>
      <w:pPr>
        <w:pStyle w:val="11"/>
        <w:adjustRightInd w:val="0"/>
        <w:snapToGrid w:val="0"/>
        <w:spacing w:line="360" w:lineRule="auto"/>
        <w:ind w:firstLine="420" w:firstLineChars="200"/>
        <w:rPr>
          <w:rFonts w:hAnsi="宋体"/>
          <w:highlight w:val="none"/>
        </w:rPr>
      </w:pPr>
      <w:r>
        <w:rPr>
          <w:rFonts w:hint="eastAsia" w:hAnsi="宋体"/>
          <w:highlight w:val="none"/>
        </w:rPr>
        <w:t>（三）拒绝履行合同义务的；</w:t>
      </w:r>
    </w:p>
    <w:p>
      <w:pPr>
        <w:pStyle w:val="11"/>
        <w:adjustRightInd w:val="0"/>
        <w:snapToGrid w:val="0"/>
        <w:spacing w:line="360" w:lineRule="auto"/>
        <w:ind w:firstLine="420" w:firstLineChars="200"/>
        <w:rPr>
          <w:rFonts w:hAnsi="宋体"/>
          <w:kern w:val="0"/>
          <w:highlight w:val="none"/>
        </w:rPr>
      </w:pPr>
      <w:r>
        <w:rPr>
          <w:rFonts w:hint="eastAsia" w:hAnsi="宋体"/>
          <w:highlight w:val="none"/>
        </w:rPr>
        <w:t>（四）</w:t>
      </w:r>
      <w:r>
        <w:rPr>
          <w:rFonts w:hint="eastAsia" w:hAnsi="宋体"/>
          <w:kern w:val="0"/>
          <w:highlight w:val="none"/>
        </w:rPr>
        <w:t>违反法律、规章、规范性文件规定的。</w:t>
      </w:r>
    </w:p>
    <w:p>
      <w:pPr>
        <w:adjustRightInd w:val="0"/>
        <w:snapToGrid w:val="0"/>
        <w:spacing w:line="360" w:lineRule="auto"/>
        <w:rPr>
          <w:rFonts w:ascii="黑体" w:hAnsi="宋体" w:eastAsia="黑体"/>
          <w:sz w:val="24"/>
          <w:highlight w:val="none"/>
        </w:rPr>
      </w:pPr>
      <w:r>
        <w:rPr>
          <w:rFonts w:hint="eastAsia" w:ascii="黑体" w:hAnsi="宋体" w:eastAsia="黑体"/>
          <w:sz w:val="24"/>
          <w:highlight w:val="none"/>
        </w:rPr>
        <w:t>七、其他规定</w:t>
      </w:r>
    </w:p>
    <w:p>
      <w:pPr>
        <w:adjustRightInd w:val="0"/>
        <w:snapToGrid w:val="0"/>
        <w:spacing w:line="360" w:lineRule="auto"/>
        <w:jc w:val="left"/>
        <w:rPr>
          <w:rFonts w:ascii="宋体"/>
          <w:b/>
          <w:highlight w:val="none"/>
        </w:rPr>
      </w:pPr>
      <w:r>
        <w:rPr>
          <w:rFonts w:ascii="宋体" w:hAnsi="宋体"/>
          <w:b/>
          <w:highlight w:val="none"/>
        </w:rPr>
        <w:t>41.1</w:t>
      </w:r>
      <w:r>
        <w:rPr>
          <w:rFonts w:hint="eastAsia" w:ascii="宋体" w:hAnsi="宋体"/>
          <w:b/>
          <w:highlight w:val="none"/>
        </w:rPr>
        <w:t>采购代理服务费</w:t>
      </w:r>
    </w:p>
    <w:p>
      <w:pPr>
        <w:tabs>
          <w:tab w:val="left" w:pos="420"/>
          <w:tab w:val="left" w:pos="7560"/>
          <w:tab w:val="left" w:pos="7740"/>
          <w:tab w:val="left" w:pos="7920"/>
        </w:tabs>
        <w:adjustRightInd w:val="0"/>
        <w:snapToGrid w:val="0"/>
        <w:spacing w:line="360" w:lineRule="auto"/>
        <w:ind w:firstLine="420" w:firstLineChars="200"/>
        <w:rPr>
          <w:rFonts w:ascii="宋体"/>
          <w:highlight w:val="none"/>
        </w:rPr>
      </w:pPr>
      <w:r>
        <w:rPr>
          <w:rFonts w:ascii="宋体" w:hAnsi="宋体"/>
          <w:highlight w:val="none"/>
        </w:rPr>
        <w:t>41.1</w:t>
      </w:r>
      <w:r>
        <w:rPr>
          <w:rFonts w:hint="eastAsia" w:ascii="宋体" w:hAnsi="宋体"/>
          <w:highlight w:val="none"/>
        </w:rPr>
        <w:t>采购代理机构应按</w:t>
      </w:r>
      <w:r>
        <w:rPr>
          <w:rFonts w:hint="eastAsia" w:ascii="宋体" w:hAnsi="宋体"/>
          <w:b/>
          <w:highlight w:val="none"/>
        </w:rPr>
        <w:t>磋商须知前附表</w:t>
      </w:r>
      <w:r>
        <w:rPr>
          <w:rFonts w:hint="eastAsia" w:ascii="宋体" w:hAnsi="宋体"/>
          <w:highlight w:val="none"/>
        </w:rPr>
        <w:t>规定收取采购代理服务费。</w:t>
      </w:r>
    </w:p>
    <w:p>
      <w:pPr>
        <w:tabs>
          <w:tab w:val="left" w:pos="420"/>
          <w:tab w:val="left" w:pos="7560"/>
          <w:tab w:val="left" w:pos="7740"/>
          <w:tab w:val="left" w:pos="7920"/>
        </w:tabs>
        <w:adjustRightInd w:val="0"/>
        <w:snapToGrid w:val="0"/>
        <w:spacing w:line="360" w:lineRule="auto"/>
        <w:ind w:firstLine="420" w:firstLineChars="200"/>
        <w:rPr>
          <w:rFonts w:ascii="宋体"/>
          <w:highlight w:val="none"/>
        </w:rPr>
      </w:pPr>
      <w:r>
        <w:rPr>
          <w:rFonts w:ascii="宋体" w:hAnsi="宋体"/>
          <w:highlight w:val="none"/>
        </w:rPr>
        <w:t>41.2</w:t>
      </w:r>
      <w:r>
        <w:rPr>
          <w:rFonts w:hint="eastAsia" w:ascii="宋体" w:hAnsi="宋体"/>
          <w:highlight w:val="none"/>
        </w:rPr>
        <w:t>集中采购机构不得收取采购代理服务费。</w:t>
      </w:r>
    </w:p>
    <w:p>
      <w:pPr>
        <w:tabs>
          <w:tab w:val="left" w:pos="420"/>
          <w:tab w:val="left" w:pos="7560"/>
          <w:tab w:val="left" w:pos="7740"/>
          <w:tab w:val="left" w:pos="7920"/>
        </w:tabs>
        <w:adjustRightInd w:val="0"/>
        <w:snapToGrid w:val="0"/>
        <w:spacing w:line="360" w:lineRule="auto"/>
        <w:rPr>
          <w:rFonts w:hAnsi="宋体"/>
          <w:b/>
          <w:highlight w:val="none"/>
        </w:rPr>
      </w:pPr>
      <w:r>
        <w:rPr>
          <w:rFonts w:ascii="宋体" w:hAnsi="宋体"/>
          <w:b/>
          <w:highlight w:val="none"/>
        </w:rPr>
        <w:t>42.</w:t>
      </w:r>
      <w:r>
        <w:rPr>
          <w:rFonts w:hAnsi="宋体"/>
          <w:b/>
          <w:highlight w:val="none"/>
        </w:rPr>
        <w:t xml:space="preserve"> </w:t>
      </w:r>
      <w:r>
        <w:rPr>
          <w:rFonts w:hint="eastAsia" w:hAnsi="宋体"/>
          <w:b/>
          <w:highlight w:val="none"/>
        </w:rPr>
        <w:t>其他规定</w:t>
      </w:r>
    </w:p>
    <w:p>
      <w:pPr>
        <w:tabs>
          <w:tab w:val="left" w:pos="420"/>
          <w:tab w:val="left" w:pos="7560"/>
          <w:tab w:val="left" w:pos="7740"/>
          <w:tab w:val="left" w:pos="7920"/>
        </w:tabs>
        <w:adjustRightInd w:val="0"/>
        <w:snapToGrid w:val="0"/>
        <w:spacing w:line="360" w:lineRule="auto"/>
        <w:ind w:firstLine="420" w:firstLineChars="200"/>
        <w:rPr>
          <w:rFonts w:ascii="宋体"/>
          <w:highlight w:val="none"/>
        </w:rPr>
      </w:pPr>
      <w:r>
        <w:rPr>
          <w:rFonts w:ascii="宋体" w:hAnsi="宋体"/>
          <w:highlight w:val="none"/>
        </w:rPr>
        <w:t>42.1</w:t>
      </w:r>
      <w:r>
        <w:rPr>
          <w:rFonts w:hint="eastAsia" w:ascii="宋体" w:hAnsi="宋体"/>
          <w:highlight w:val="none"/>
        </w:rPr>
        <w:t>磋商文件</w:t>
      </w:r>
      <w:r>
        <w:rPr>
          <w:rFonts w:hint="eastAsia" w:hAnsi="宋体"/>
          <w:highlight w:val="none"/>
        </w:rPr>
        <w:t>的其他规定</w:t>
      </w:r>
      <w:r>
        <w:rPr>
          <w:rFonts w:hint="eastAsia" w:ascii="宋体" w:hAnsi="宋体"/>
          <w:highlight w:val="none"/>
        </w:rPr>
        <w:t>见</w:t>
      </w:r>
      <w:r>
        <w:rPr>
          <w:rFonts w:hint="eastAsia" w:ascii="宋体" w:hAnsi="宋体"/>
          <w:b/>
          <w:highlight w:val="none"/>
        </w:rPr>
        <w:t>磋商须知前附表</w:t>
      </w:r>
      <w:r>
        <w:rPr>
          <w:rFonts w:hint="eastAsia" w:ascii="宋体" w:hAnsi="宋体"/>
          <w:highlight w:val="none"/>
        </w:rPr>
        <w:t>。</w:t>
      </w:r>
    </w:p>
    <w:p>
      <w:pPr>
        <w:adjustRightInd w:val="0"/>
        <w:snapToGrid w:val="0"/>
        <w:spacing w:before="156" w:beforeLines="50" w:line="360" w:lineRule="auto"/>
        <w:jc w:val="center"/>
        <w:rPr>
          <w:rFonts w:ascii="黑体" w:eastAsia="黑体"/>
          <w:b/>
          <w:sz w:val="32"/>
          <w:szCs w:val="32"/>
          <w:highlight w:val="none"/>
        </w:rPr>
      </w:pPr>
    </w:p>
    <w:p>
      <w:pPr>
        <w:adjustRightInd w:val="0"/>
        <w:snapToGrid w:val="0"/>
        <w:spacing w:before="156" w:beforeLines="50" w:line="360" w:lineRule="auto"/>
        <w:jc w:val="both"/>
        <w:rPr>
          <w:rFonts w:ascii="黑体" w:hAnsi="华文中宋" w:eastAsia="黑体"/>
          <w:b/>
          <w:bCs/>
          <w:sz w:val="32"/>
          <w:szCs w:val="32"/>
          <w:highlight w:val="none"/>
        </w:rPr>
      </w:pPr>
      <w:r>
        <w:rPr>
          <w:rFonts w:ascii="黑体" w:eastAsia="黑体"/>
          <w:b/>
          <w:sz w:val="32"/>
          <w:szCs w:val="32"/>
          <w:highlight w:val="none"/>
        </w:rPr>
        <w:br w:type="page"/>
      </w:r>
      <w:r>
        <w:rPr>
          <w:rFonts w:hint="eastAsia" w:ascii="黑体" w:eastAsia="黑体"/>
          <w:b/>
          <w:sz w:val="32"/>
          <w:szCs w:val="32"/>
          <w:highlight w:val="none"/>
        </w:rPr>
        <w:t>第三章</w:t>
      </w:r>
      <w:r>
        <w:rPr>
          <w:rFonts w:ascii="黑体" w:eastAsia="黑体"/>
          <w:b/>
          <w:sz w:val="32"/>
          <w:szCs w:val="32"/>
          <w:highlight w:val="none"/>
        </w:rPr>
        <w:t xml:space="preserve">  </w:t>
      </w:r>
      <w:r>
        <w:rPr>
          <w:rFonts w:hint="eastAsia" w:ascii="黑体" w:hAnsi="华文中宋" w:eastAsia="黑体"/>
          <w:b/>
          <w:bCs/>
          <w:sz w:val="32"/>
          <w:szCs w:val="32"/>
          <w:highlight w:val="none"/>
        </w:rPr>
        <w:t>采购合同格式</w:t>
      </w:r>
    </w:p>
    <w:p>
      <w:pPr>
        <w:adjustRightInd w:val="0"/>
        <w:snapToGrid w:val="0"/>
        <w:spacing w:before="156" w:beforeLines="50" w:line="360" w:lineRule="auto"/>
        <w:rPr>
          <w:rFonts w:ascii="Times New Roman" w:hAnsi="Times New Roman" w:eastAsiaTheme="minorEastAsia"/>
          <w:highlight w:val="none"/>
        </w:rPr>
      </w:pPr>
      <w:r>
        <w:rPr>
          <w:rFonts w:ascii="Times New Roman" w:hAnsi="Times New Roman" w:eastAsiaTheme="minorEastAsia"/>
          <w:highlight w:val="none"/>
        </w:rPr>
        <w:t>采购人（全称）：</w:t>
      </w:r>
      <w:r>
        <w:rPr>
          <w:rFonts w:hint="eastAsia" w:ascii="Times New Roman" w:hAnsi="Times New Roman" w:eastAsiaTheme="minorEastAsia"/>
          <w:highlight w:val="none"/>
          <w:u w:val="single"/>
        </w:rPr>
        <w:t>湖南省地震局</w:t>
      </w:r>
      <w:r>
        <w:rPr>
          <w:rFonts w:ascii="Times New Roman" w:hAnsi="Times New Roman" w:eastAsiaTheme="minorEastAsia"/>
          <w:highlight w:val="none"/>
        </w:rPr>
        <w:t>（甲方）</w:t>
      </w:r>
    </w:p>
    <w:p>
      <w:pPr>
        <w:adjustRightInd w:val="0"/>
        <w:snapToGrid w:val="0"/>
        <w:spacing w:before="156" w:beforeLines="50" w:line="360" w:lineRule="auto"/>
        <w:rPr>
          <w:rFonts w:ascii="Times New Roman" w:hAnsi="Times New Roman" w:eastAsiaTheme="minorEastAsia"/>
          <w:highlight w:val="none"/>
        </w:rPr>
      </w:pPr>
      <w:r>
        <w:rPr>
          <w:rFonts w:ascii="Times New Roman" w:hAnsi="Times New Roman" w:eastAsiaTheme="minorEastAsia"/>
          <w:highlight w:val="none"/>
        </w:rPr>
        <w:t>供应商（全称）：</w:t>
      </w:r>
      <w:r>
        <w:rPr>
          <w:rFonts w:hint="eastAsia" w:ascii="Times New Roman" w:hAnsi="Times New Roman" w:eastAsiaTheme="minorEastAsia"/>
          <w:highlight w:val="none"/>
          <w:u w:val="single"/>
        </w:rPr>
        <w:t xml:space="preserve">            </w:t>
      </w:r>
      <w:r>
        <w:rPr>
          <w:rFonts w:ascii="Times New Roman" w:hAnsi="Times New Roman" w:eastAsiaTheme="minorEastAsia"/>
          <w:highlight w:val="none"/>
        </w:rPr>
        <w:t>（乙方）</w:t>
      </w:r>
    </w:p>
    <w:p>
      <w:pPr>
        <w:pStyle w:val="3"/>
        <w:adjustRightInd w:val="0"/>
        <w:snapToGrid w:val="0"/>
        <w:spacing w:before="156" w:beforeLines="50" w:after="0" w:line="360" w:lineRule="auto"/>
        <w:ind w:left="0" w:leftChars="0" w:firstLine="420" w:firstLineChars="200"/>
        <w:rPr>
          <w:rFonts w:ascii="Times New Roman" w:hAnsi="Times New Roman" w:eastAsiaTheme="minorEastAsia"/>
          <w:highlight w:val="none"/>
        </w:rPr>
      </w:pPr>
      <w:r>
        <w:rPr>
          <w:rFonts w:ascii="Times New Roman" w:hAnsi="Times New Roman" w:eastAsiaTheme="minorEastAsia"/>
          <w:highlight w:val="none"/>
        </w:rPr>
        <w:t>为了保护甲、乙双方合法权益，根据《中华人民共和国合同法》、《中华人民共和国政府采购法》及其他有关法律、法规、规章，双方签订本合同协议书。</w:t>
      </w:r>
    </w:p>
    <w:p>
      <w:pPr>
        <w:adjustRightInd w:val="0"/>
        <w:snapToGrid w:val="0"/>
        <w:spacing w:before="156" w:beforeLines="50" w:line="360" w:lineRule="auto"/>
        <w:ind w:firstLine="422" w:firstLineChars="200"/>
        <w:rPr>
          <w:rFonts w:ascii="Times New Roman" w:hAnsi="Times New Roman" w:eastAsiaTheme="minorEastAsia"/>
          <w:b/>
          <w:highlight w:val="none"/>
        </w:rPr>
      </w:pPr>
      <w:r>
        <w:rPr>
          <w:rFonts w:ascii="Times New Roman" w:hAnsi="Times New Roman" w:eastAsiaTheme="minorEastAsia"/>
          <w:b/>
          <w:highlight w:val="none"/>
        </w:rPr>
        <w:t>1.项目信息</w:t>
      </w:r>
    </w:p>
    <w:p>
      <w:pPr>
        <w:pStyle w:val="3"/>
        <w:adjustRightInd w:val="0"/>
        <w:snapToGrid w:val="0"/>
        <w:spacing w:before="156" w:beforeLines="50" w:after="0" w:line="360" w:lineRule="auto"/>
        <w:rPr>
          <w:rFonts w:ascii="Times New Roman" w:hAnsi="Times New Roman" w:eastAsiaTheme="minorEastAsia"/>
          <w:highlight w:val="none"/>
        </w:rPr>
      </w:pPr>
      <w:r>
        <w:rPr>
          <w:rFonts w:ascii="Times New Roman" w:hAnsi="Times New Roman" w:eastAsiaTheme="minorEastAsia"/>
          <w:highlight w:val="none"/>
        </w:rPr>
        <w:t>（1）采购项目名称：</w:t>
      </w:r>
    </w:p>
    <w:p>
      <w:pPr>
        <w:pStyle w:val="3"/>
        <w:adjustRightInd w:val="0"/>
        <w:snapToGrid w:val="0"/>
        <w:spacing w:before="156" w:beforeLines="50" w:after="0" w:line="360" w:lineRule="auto"/>
        <w:rPr>
          <w:rFonts w:ascii="Times New Roman" w:hAnsi="Times New Roman" w:eastAsiaTheme="minorEastAsia"/>
          <w:highlight w:val="none"/>
        </w:rPr>
      </w:pPr>
      <w:r>
        <w:rPr>
          <w:rFonts w:ascii="Times New Roman" w:hAnsi="Times New Roman" w:eastAsiaTheme="minorEastAsia"/>
          <w:highlight w:val="none"/>
        </w:rPr>
        <w:t>（2）采购计划编号：</w:t>
      </w:r>
    </w:p>
    <w:p>
      <w:pPr>
        <w:adjustRightInd w:val="0"/>
        <w:snapToGrid w:val="0"/>
        <w:spacing w:before="156" w:beforeLines="50" w:line="360" w:lineRule="auto"/>
        <w:ind w:firstLine="420" w:firstLineChars="200"/>
        <w:rPr>
          <w:rFonts w:ascii="Times New Roman" w:hAnsi="Times New Roman" w:eastAsiaTheme="minorEastAsia"/>
          <w:highlight w:val="none"/>
        </w:rPr>
      </w:pPr>
      <w:r>
        <w:rPr>
          <w:rFonts w:ascii="Times New Roman" w:hAnsi="Times New Roman" w:eastAsiaTheme="minorEastAsia"/>
          <w:highlight w:val="none"/>
        </w:rPr>
        <w:t>（3）项目内容：</w:t>
      </w:r>
    </w:p>
    <w:p>
      <w:pPr>
        <w:adjustRightInd w:val="0"/>
        <w:snapToGrid w:val="0"/>
        <w:spacing w:before="156" w:beforeLines="50" w:line="360" w:lineRule="auto"/>
        <w:ind w:firstLine="420" w:firstLineChars="200"/>
        <w:rPr>
          <w:rFonts w:ascii="Times New Roman" w:hAnsi="Times New Roman" w:eastAsiaTheme="minorEastAsia"/>
          <w:highlight w:val="none"/>
        </w:rPr>
      </w:pPr>
      <w:r>
        <w:rPr>
          <w:rFonts w:ascii="Times New Roman" w:hAnsi="Times New Roman" w:eastAsiaTheme="minorEastAsia"/>
          <w:highlight w:val="none"/>
        </w:rPr>
        <w:t>（4）项目负责人： 。</w:t>
      </w:r>
    </w:p>
    <w:p>
      <w:pPr>
        <w:adjustRightInd w:val="0"/>
        <w:snapToGrid w:val="0"/>
        <w:spacing w:before="156" w:beforeLines="50" w:line="360" w:lineRule="auto"/>
        <w:ind w:firstLine="413" w:firstLineChars="196"/>
        <w:rPr>
          <w:rFonts w:ascii="Times New Roman" w:hAnsi="Times New Roman" w:eastAsiaTheme="minorEastAsia"/>
          <w:b/>
          <w:highlight w:val="none"/>
        </w:rPr>
      </w:pPr>
      <w:r>
        <w:rPr>
          <w:rFonts w:ascii="Times New Roman" w:hAnsi="Times New Roman" w:eastAsiaTheme="minorEastAsia"/>
          <w:b/>
          <w:highlight w:val="none"/>
        </w:rPr>
        <w:t>2.合同金额</w:t>
      </w:r>
    </w:p>
    <w:p>
      <w:pPr>
        <w:adjustRightInd w:val="0"/>
        <w:snapToGrid w:val="0"/>
        <w:spacing w:before="156" w:beforeLines="50" w:line="360" w:lineRule="auto"/>
        <w:ind w:firstLine="420" w:firstLineChars="200"/>
        <w:rPr>
          <w:rFonts w:ascii="Times New Roman" w:hAnsi="Times New Roman" w:eastAsiaTheme="minorEastAsia"/>
          <w:highlight w:val="none"/>
        </w:rPr>
      </w:pPr>
      <w:r>
        <w:rPr>
          <w:rFonts w:ascii="Times New Roman" w:hAnsi="Times New Roman" w:eastAsiaTheme="minorEastAsia"/>
          <w:highlight w:val="none"/>
        </w:rPr>
        <w:t>（1）合同金额小写：</w:t>
      </w:r>
    </w:p>
    <w:p>
      <w:pPr>
        <w:adjustRightInd w:val="0"/>
        <w:snapToGrid w:val="0"/>
        <w:spacing w:before="156" w:beforeLines="50" w:line="360" w:lineRule="auto"/>
        <w:ind w:firstLine="1260" w:firstLineChars="600"/>
        <w:rPr>
          <w:rFonts w:ascii="Times New Roman" w:hAnsi="Times New Roman" w:eastAsiaTheme="minorEastAsia"/>
          <w:b/>
          <w:highlight w:val="none"/>
        </w:rPr>
      </w:pPr>
      <w:r>
        <w:rPr>
          <w:rFonts w:ascii="Times New Roman" w:hAnsi="Times New Roman" w:eastAsiaTheme="minorEastAsia"/>
          <w:highlight w:val="none"/>
        </w:rPr>
        <w:t>大写：</w:t>
      </w:r>
    </w:p>
    <w:p>
      <w:pPr>
        <w:adjustRightInd w:val="0"/>
        <w:snapToGrid w:val="0"/>
        <w:spacing w:before="156" w:beforeLines="50" w:line="360" w:lineRule="auto"/>
        <w:ind w:firstLine="420" w:firstLineChars="200"/>
        <w:rPr>
          <w:rFonts w:ascii="Times New Roman" w:hAnsi="Times New Roman" w:eastAsiaTheme="minorEastAsia"/>
          <w:highlight w:val="none"/>
        </w:rPr>
      </w:pPr>
      <w:r>
        <w:rPr>
          <w:rFonts w:ascii="Times New Roman" w:hAnsi="Times New Roman" w:eastAsiaTheme="minorEastAsia"/>
          <w:highlight w:val="none"/>
        </w:rPr>
        <w:t>（2）具体标的见附件。</w:t>
      </w:r>
    </w:p>
    <w:p>
      <w:pPr>
        <w:adjustRightInd w:val="0"/>
        <w:snapToGrid w:val="0"/>
        <w:spacing w:before="156" w:beforeLines="50" w:line="360" w:lineRule="auto"/>
        <w:ind w:firstLine="420" w:firstLineChars="200"/>
        <w:rPr>
          <w:rFonts w:ascii="Times New Roman" w:hAnsi="Times New Roman" w:eastAsiaTheme="minorEastAsia"/>
          <w:highlight w:val="none"/>
        </w:rPr>
      </w:pPr>
      <w:r>
        <w:rPr>
          <w:rFonts w:ascii="Times New Roman" w:hAnsi="Times New Roman" w:eastAsiaTheme="minorEastAsia"/>
          <w:highlight w:val="none"/>
        </w:rPr>
        <w:t>（3）合同价格形式： 。</w:t>
      </w:r>
    </w:p>
    <w:p>
      <w:pPr>
        <w:adjustRightInd w:val="0"/>
        <w:snapToGrid w:val="0"/>
        <w:spacing w:before="156" w:beforeLines="50" w:line="360" w:lineRule="auto"/>
        <w:ind w:firstLine="422" w:firstLineChars="200"/>
        <w:rPr>
          <w:rFonts w:ascii="Times New Roman" w:hAnsi="Times New Roman" w:eastAsiaTheme="minorEastAsia"/>
          <w:highlight w:val="none"/>
          <w:u w:val="single"/>
        </w:rPr>
      </w:pPr>
      <w:r>
        <w:rPr>
          <w:rFonts w:ascii="Times New Roman" w:hAnsi="Times New Roman" w:eastAsiaTheme="minorEastAsia"/>
          <w:b/>
          <w:highlight w:val="none"/>
        </w:rPr>
        <w:t>3.履行合同的时间、地点及方式</w:t>
      </w:r>
    </w:p>
    <w:p>
      <w:pPr>
        <w:adjustRightInd w:val="0"/>
        <w:snapToGrid w:val="0"/>
        <w:spacing w:before="156" w:beforeLines="50" w:line="360" w:lineRule="auto"/>
        <w:ind w:firstLine="630" w:firstLineChars="300"/>
        <w:rPr>
          <w:rFonts w:ascii="Times New Roman" w:hAnsi="Times New Roman" w:eastAsiaTheme="minorEastAsia"/>
          <w:highlight w:val="none"/>
        </w:rPr>
      </w:pPr>
      <w:r>
        <w:rPr>
          <w:rFonts w:ascii="Times New Roman" w:hAnsi="Times New Roman" w:eastAsiaTheme="minorEastAsia"/>
          <w:highlight w:val="none"/>
        </w:rPr>
        <w:t>起始日期：年月日，完成日期：年月日。总日历天数：天。</w:t>
      </w:r>
    </w:p>
    <w:p>
      <w:pPr>
        <w:adjustRightInd w:val="0"/>
        <w:snapToGrid w:val="0"/>
        <w:spacing w:before="156" w:beforeLines="50" w:line="360" w:lineRule="auto"/>
        <w:ind w:firstLine="630" w:firstLineChars="300"/>
        <w:rPr>
          <w:rFonts w:ascii="Times New Roman" w:hAnsi="Times New Roman" w:eastAsiaTheme="minorEastAsia"/>
          <w:highlight w:val="none"/>
          <w:u w:val="single"/>
        </w:rPr>
      </w:pPr>
      <w:r>
        <w:rPr>
          <w:rFonts w:ascii="Times New Roman" w:hAnsi="Times New Roman" w:eastAsiaTheme="minorEastAsia"/>
          <w:highlight w:val="none"/>
        </w:rPr>
        <w:t>地点</w:t>
      </w:r>
      <w:r>
        <w:rPr>
          <w:rFonts w:ascii="Times New Roman" w:hAnsi="Times New Roman" w:eastAsiaTheme="minorEastAsia"/>
          <w:b/>
          <w:highlight w:val="none"/>
        </w:rPr>
        <w:t>：</w:t>
      </w:r>
    </w:p>
    <w:p>
      <w:pPr>
        <w:adjustRightInd w:val="0"/>
        <w:snapToGrid w:val="0"/>
        <w:spacing w:before="156" w:beforeLines="50" w:line="360" w:lineRule="auto"/>
        <w:ind w:firstLine="630" w:firstLineChars="300"/>
        <w:rPr>
          <w:rFonts w:ascii="Times New Roman" w:hAnsi="Times New Roman" w:eastAsiaTheme="minorEastAsia"/>
          <w:highlight w:val="none"/>
        </w:rPr>
      </w:pPr>
      <w:r>
        <w:rPr>
          <w:rFonts w:ascii="Times New Roman" w:hAnsi="Times New Roman" w:eastAsiaTheme="minorEastAsia"/>
          <w:highlight w:val="none"/>
        </w:rPr>
        <w:t>方式：</w:t>
      </w:r>
    </w:p>
    <w:p>
      <w:pPr>
        <w:adjustRightInd w:val="0"/>
        <w:snapToGrid w:val="0"/>
        <w:spacing w:before="156" w:beforeLines="50" w:line="360" w:lineRule="auto"/>
        <w:ind w:firstLine="422" w:firstLineChars="200"/>
        <w:rPr>
          <w:rFonts w:ascii="Times New Roman" w:hAnsi="Times New Roman" w:eastAsiaTheme="minorEastAsia"/>
          <w:b/>
          <w:highlight w:val="none"/>
        </w:rPr>
      </w:pPr>
      <w:r>
        <w:rPr>
          <w:rFonts w:ascii="Times New Roman" w:hAnsi="Times New Roman" w:eastAsiaTheme="minorEastAsia"/>
          <w:b/>
          <w:highlight w:val="none"/>
        </w:rPr>
        <w:t>4.付款：</w:t>
      </w:r>
    </w:p>
    <w:p>
      <w:pPr>
        <w:autoSpaceDE w:val="0"/>
        <w:autoSpaceDN w:val="0"/>
        <w:adjustRightInd w:val="0"/>
        <w:snapToGrid w:val="0"/>
        <w:spacing w:before="50" w:line="360" w:lineRule="auto"/>
        <w:ind w:firstLine="420" w:firstLineChars="200"/>
        <w:jc w:val="left"/>
        <w:rPr>
          <w:rFonts w:hint="default" w:ascii="Times New Roman" w:hAnsi="Times New Roman" w:eastAsiaTheme="minorEastAsia"/>
          <w:highlight w:val="none"/>
          <w:lang w:val="en-US" w:eastAsia="zh-CN"/>
        </w:rPr>
      </w:pPr>
      <w:r>
        <w:rPr>
          <w:rFonts w:hint="eastAsia" w:ascii="Times New Roman" w:hAnsi="Times New Roman" w:eastAsiaTheme="minorEastAsia"/>
          <w:highlight w:val="none"/>
          <w:lang w:val="en-US" w:eastAsia="zh-CN"/>
        </w:rPr>
        <w:t>1.项目通过甲方初步验收审查后，支付合同金额40%的合同款。项目最终验收审查通过后，支付合同金额55%合同款。剩余5%合同款在最终验收通过一年后支付。</w:t>
      </w:r>
    </w:p>
    <w:p>
      <w:pPr>
        <w:autoSpaceDE w:val="0"/>
        <w:autoSpaceDN w:val="0"/>
        <w:adjustRightInd w:val="0"/>
        <w:snapToGrid w:val="0"/>
        <w:spacing w:before="50" w:line="360" w:lineRule="auto"/>
        <w:ind w:firstLine="420" w:firstLineChars="200"/>
        <w:jc w:val="left"/>
        <w:rPr>
          <w:rFonts w:hint="default" w:ascii="Times New Roman" w:hAnsi="Times New Roman" w:eastAsiaTheme="minorEastAsia"/>
          <w:highlight w:val="none"/>
          <w:lang w:val="en-US" w:eastAsia="zh-CN"/>
        </w:rPr>
      </w:pPr>
      <w:r>
        <w:rPr>
          <w:rFonts w:hint="eastAsia" w:ascii="Times New Roman" w:hAnsi="Times New Roman" w:eastAsiaTheme="minorEastAsia"/>
          <w:highlight w:val="none"/>
          <w:lang w:val="en-US" w:eastAsia="zh-CN"/>
        </w:rPr>
        <w:t>2.支付前乙方应向甲方提供正式发票。</w:t>
      </w:r>
    </w:p>
    <w:p>
      <w:pPr>
        <w:adjustRightInd w:val="0"/>
        <w:snapToGrid w:val="0"/>
        <w:spacing w:before="156" w:beforeLines="50" w:line="360" w:lineRule="auto"/>
        <w:ind w:firstLine="630" w:firstLineChars="300"/>
        <w:rPr>
          <w:rFonts w:ascii="Times New Roman" w:hAnsi="Times New Roman" w:eastAsiaTheme="minorEastAsia"/>
          <w:bCs/>
          <w:highlight w:val="none"/>
        </w:rPr>
      </w:pPr>
      <w:r>
        <w:rPr>
          <w:rFonts w:ascii="Times New Roman" w:hAnsi="Times New Roman" w:eastAsiaTheme="minorEastAsia"/>
          <w:highlight w:val="none"/>
        </w:rPr>
        <w:t xml:space="preserve">  </w:t>
      </w:r>
    </w:p>
    <w:p>
      <w:pPr>
        <w:adjustRightInd w:val="0"/>
        <w:snapToGrid w:val="0"/>
        <w:spacing w:before="156" w:beforeLines="50" w:line="360" w:lineRule="auto"/>
        <w:ind w:firstLine="422" w:firstLineChars="200"/>
        <w:rPr>
          <w:rFonts w:ascii="Times New Roman" w:hAnsi="Times New Roman" w:eastAsiaTheme="minorEastAsia"/>
          <w:b/>
          <w:highlight w:val="none"/>
        </w:rPr>
      </w:pPr>
      <w:r>
        <w:rPr>
          <w:rFonts w:ascii="Times New Roman" w:hAnsi="Times New Roman" w:eastAsiaTheme="minorEastAsia"/>
          <w:b/>
          <w:highlight w:val="none"/>
        </w:rPr>
        <w:t>5.解决合同纠纷方式</w:t>
      </w:r>
    </w:p>
    <w:p>
      <w:pPr>
        <w:adjustRightInd w:val="0"/>
        <w:snapToGrid w:val="0"/>
        <w:spacing w:before="156" w:beforeLines="50" w:line="360" w:lineRule="auto"/>
        <w:ind w:firstLine="420" w:firstLineChars="200"/>
        <w:rPr>
          <w:rFonts w:ascii="Times New Roman" w:hAnsi="Times New Roman" w:eastAsiaTheme="minorEastAsia"/>
          <w:highlight w:val="none"/>
        </w:rPr>
      </w:pPr>
      <w:r>
        <w:rPr>
          <w:rFonts w:ascii="Times New Roman" w:hAnsi="Times New Roman" w:eastAsiaTheme="minorEastAsia"/>
          <w:highlight w:val="none"/>
        </w:rPr>
        <w:t>首先通过双方协商解决，协商解决不成，则通过以下途径之一解决纠纷：</w:t>
      </w:r>
    </w:p>
    <w:p>
      <w:pPr>
        <w:adjustRightInd w:val="0"/>
        <w:snapToGrid w:val="0"/>
        <w:spacing w:before="156" w:beforeLines="50" w:line="360" w:lineRule="auto"/>
        <w:ind w:firstLine="840" w:firstLineChars="400"/>
        <w:rPr>
          <w:rFonts w:ascii="Times New Roman" w:hAnsi="Times New Roman" w:eastAsiaTheme="minorEastAsia"/>
          <w:highlight w:val="none"/>
        </w:rPr>
      </w:pPr>
      <w:r>
        <w:rPr>
          <w:rFonts w:ascii="Times New Roman" w:hAnsi="Times New Roman" w:eastAsiaTheme="minorEastAsia"/>
          <w:highlight w:val="none"/>
        </w:rPr>
        <w:t xml:space="preserve">□ 提请仲裁       </w:t>
      </w:r>
      <w:r>
        <w:rPr>
          <w:rFonts w:hint="eastAsia" w:ascii="Times New Roman" w:hAnsi="Times New Roman" w:eastAsiaTheme="minorEastAsia"/>
          <w:highlight w:val="none"/>
        </w:rPr>
        <w:t>☑</w:t>
      </w:r>
      <w:r>
        <w:rPr>
          <w:rFonts w:ascii="Times New Roman" w:hAnsi="Times New Roman" w:eastAsiaTheme="minorEastAsia"/>
          <w:highlight w:val="none"/>
        </w:rPr>
        <w:t xml:space="preserve"> 向人民法院提起诉讼</w:t>
      </w:r>
    </w:p>
    <w:p>
      <w:pPr>
        <w:adjustRightInd w:val="0"/>
        <w:snapToGrid w:val="0"/>
        <w:spacing w:before="156" w:beforeLines="50" w:line="360" w:lineRule="auto"/>
        <w:ind w:firstLine="422" w:firstLineChars="200"/>
        <w:rPr>
          <w:rFonts w:ascii="Times New Roman" w:hAnsi="Times New Roman" w:eastAsiaTheme="minorEastAsia"/>
          <w:b/>
          <w:highlight w:val="none"/>
        </w:rPr>
      </w:pPr>
      <w:r>
        <w:rPr>
          <w:rFonts w:ascii="Times New Roman" w:hAnsi="Times New Roman" w:eastAsiaTheme="minorEastAsia"/>
          <w:b/>
          <w:highlight w:val="none"/>
        </w:rPr>
        <w:t>6.组成合同的文件</w:t>
      </w:r>
    </w:p>
    <w:p>
      <w:pPr>
        <w:adjustRightInd w:val="0"/>
        <w:snapToGrid w:val="0"/>
        <w:spacing w:before="156" w:beforeLines="50" w:line="360" w:lineRule="auto"/>
        <w:ind w:firstLine="420" w:firstLineChars="200"/>
        <w:rPr>
          <w:rFonts w:ascii="Times New Roman" w:hAnsi="Times New Roman" w:eastAsiaTheme="minorEastAsia"/>
          <w:highlight w:val="none"/>
        </w:rPr>
      </w:pPr>
      <w:r>
        <w:rPr>
          <w:rFonts w:ascii="Times New Roman" w:hAnsi="Times New Roman" w:eastAsiaTheme="minorEastAsia"/>
          <w:highlight w:val="none"/>
        </w:rPr>
        <w:t>本协议书与下列文件一起构成合同文件，如下述文件之间有任何抵触、矛盾或歧义，应按以下顺序解释：</w:t>
      </w:r>
    </w:p>
    <w:p>
      <w:pPr>
        <w:adjustRightInd w:val="0"/>
        <w:snapToGrid w:val="0"/>
        <w:spacing w:before="156" w:beforeLines="50" w:line="360" w:lineRule="auto"/>
        <w:ind w:firstLine="420" w:firstLineChars="200"/>
        <w:rPr>
          <w:rFonts w:ascii="Times New Roman" w:hAnsi="Times New Roman" w:eastAsiaTheme="minorEastAsia"/>
          <w:highlight w:val="none"/>
        </w:rPr>
      </w:pPr>
      <w:r>
        <w:rPr>
          <w:rFonts w:ascii="Times New Roman" w:hAnsi="Times New Roman" w:eastAsiaTheme="minorEastAsia"/>
          <w:highlight w:val="none"/>
        </w:rPr>
        <w:t>（1）在采购或合同履行过程中乙方作出的承诺以及双方协商达成的变更或补充协议</w:t>
      </w:r>
    </w:p>
    <w:p>
      <w:pPr>
        <w:adjustRightInd w:val="0"/>
        <w:snapToGrid w:val="0"/>
        <w:spacing w:before="156" w:beforeLines="50" w:line="360" w:lineRule="auto"/>
        <w:ind w:firstLine="420" w:firstLineChars="200"/>
        <w:rPr>
          <w:rFonts w:ascii="Times New Roman" w:hAnsi="Times New Roman" w:eastAsiaTheme="minorEastAsia"/>
          <w:highlight w:val="none"/>
        </w:rPr>
      </w:pPr>
      <w:r>
        <w:rPr>
          <w:rFonts w:ascii="Times New Roman" w:hAnsi="Times New Roman" w:eastAsiaTheme="minorEastAsia"/>
          <w:highlight w:val="none"/>
        </w:rPr>
        <w:t>（2）本合同协议书</w:t>
      </w:r>
    </w:p>
    <w:p>
      <w:pPr>
        <w:adjustRightInd w:val="0"/>
        <w:snapToGrid w:val="0"/>
        <w:spacing w:before="156" w:beforeLines="50" w:line="360" w:lineRule="auto"/>
        <w:ind w:firstLine="420" w:firstLineChars="200"/>
        <w:rPr>
          <w:rFonts w:ascii="Times New Roman" w:hAnsi="Times New Roman" w:eastAsiaTheme="minorEastAsia"/>
          <w:highlight w:val="none"/>
        </w:rPr>
      </w:pPr>
      <w:r>
        <w:rPr>
          <w:rFonts w:ascii="Times New Roman" w:hAnsi="Times New Roman" w:eastAsiaTheme="minorEastAsia"/>
          <w:highlight w:val="none"/>
        </w:rPr>
        <w:t>（3）中标通知书</w:t>
      </w:r>
    </w:p>
    <w:p>
      <w:pPr>
        <w:adjustRightInd w:val="0"/>
        <w:snapToGrid w:val="0"/>
        <w:spacing w:before="156" w:beforeLines="50" w:line="360" w:lineRule="auto"/>
        <w:ind w:firstLine="420" w:firstLineChars="200"/>
        <w:rPr>
          <w:rFonts w:ascii="Times New Roman" w:hAnsi="Times New Roman" w:eastAsiaTheme="minorEastAsia"/>
          <w:highlight w:val="none"/>
        </w:rPr>
      </w:pPr>
      <w:r>
        <w:rPr>
          <w:rFonts w:ascii="Times New Roman" w:hAnsi="Times New Roman" w:eastAsiaTheme="minorEastAsia"/>
          <w:highlight w:val="none"/>
        </w:rPr>
        <w:t>（4）响应文件</w:t>
      </w:r>
    </w:p>
    <w:p>
      <w:pPr>
        <w:adjustRightInd w:val="0"/>
        <w:snapToGrid w:val="0"/>
        <w:spacing w:before="156" w:beforeLines="50" w:line="360" w:lineRule="auto"/>
        <w:ind w:firstLine="420" w:firstLineChars="200"/>
        <w:rPr>
          <w:rFonts w:ascii="Times New Roman" w:hAnsi="Times New Roman" w:eastAsiaTheme="minorEastAsia"/>
          <w:highlight w:val="none"/>
        </w:rPr>
      </w:pPr>
      <w:r>
        <w:rPr>
          <w:rFonts w:ascii="Times New Roman" w:hAnsi="Times New Roman" w:eastAsiaTheme="minorEastAsia"/>
          <w:highlight w:val="none"/>
        </w:rPr>
        <w:t>（5）政府采购合同专用条款</w:t>
      </w:r>
    </w:p>
    <w:p>
      <w:pPr>
        <w:adjustRightInd w:val="0"/>
        <w:snapToGrid w:val="0"/>
        <w:spacing w:before="156" w:beforeLines="50" w:line="360" w:lineRule="auto"/>
        <w:ind w:firstLine="420" w:firstLineChars="200"/>
        <w:rPr>
          <w:rFonts w:ascii="Times New Roman" w:hAnsi="Times New Roman" w:eastAsiaTheme="minorEastAsia"/>
          <w:highlight w:val="none"/>
        </w:rPr>
      </w:pPr>
      <w:r>
        <w:rPr>
          <w:rFonts w:ascii="Times New Roman" w:hAnsi="Times New Roman" w:eastAsiaTheme="minorEastAsia"/>
          <w:highlight w:val="none"/>
        </w:rPr>
        <w:t>（6）政府采购合同通用条款</w:t>
      </w:r>
    </w:p>
    <w:p>
      <w:pPr>
        <w:adjustRightInd w:val="0"/>
        <w:snapToGrid w:val="0"/>
        <w:spacing w:before="156" w:beforeLines="50" w:line="360" w:lineRule="auto"/>
        <w:ind w:firstLine="420" w:firstLineChars="200"/>
        <w:rPr>
          <w:rFonts w:ascii="Times New Roman" w:hAnsi="Times New Roman" w:eastAsiaTheme="minorEastAsia"/>
          <w:highlight w:val="none"/>
        </w:rPr>
      </w:pPr>
      <w:r>
        <w:rPr>
          <w:rFonts w:ascii="Times New Roman" w:hAnsi="Times New Roman" w:eastAsiaTheme="minorEastAsia"/>
          <w:highlight w:val="none"/>
        </w:rPr>
        <w:t>（7）标准、规范及有关技术文件，图纸。</w:t>
      </w:r>
    </w:p>
    <w:p>
      <w:pPr>
        <w:adjustRightInd w:val="0"/>
        <w:snapToGrid w:val="0"/>
        <w:spacing w:before="156" w:beforeLines="50" w:line="360" w:lineRule="auto"/>
        <w:ind w:firstLine="420" w:firstLineChars="200"/>
        <w:rPr>
          <w:rFonts w:ascii="Times New Roman" w:hAnsi="Times New Roman" w:eastAsiaTheme="minorEastAsia"/>
          <w:highlight w:val="none"/>
        </w:rPr>
      </w:pPr>
      <w:r>
        <w:rPr>
          <w:rFonts w:ascii="Times New Roman" w:hAnsi="Times New Roman" w:eastAsiaTheme="minorEastAsia"/>
          <w:highlight w:val="none"/>
        </w:rPr>
        <w:t>（8）其他合同文件。</w:t>
      </w:r>
    </w:p>
    <w:p>
      <w:pPr>
        <w:adjustRightInd w:val="0"/>
        <w:snapToGrid w:val="0"/>
        <w:spacing w:before="156" w:beforeLines="50" w:line="360" w:lineRule="auto"/>
        <w:ind w:firstLine="310" w:firstLineChars="147"/>
        <w:rPr>
          <w:rFonts w:ascii="Times New Roman" w:hAnsi="Times New Roman" w:eastAsiaTheme="minorEastAsia"/>
          <w:b/>
          <w:highlight w:val="none"/>
        </w:rPr>
      </w:pPr>
      <w:r>
        <w:rPr>
          <w:rFonts w:ascii="Times New Roman" w:hAnsi="Times New Roman" w:eastAsiaTheme="minorEastAsia"/>
          <w:b/>
          <w:highlight w:val="none"/>
        </w:rPr>
        <w:t>7.合同生效</w:t>
      </w:r>
    </w:p>
    <w:p>
      <w:pPr>
        <w:adjustRightInd w:val="0"/>
        <w:snapToGrid w:val="0"/>
        <w:spacing w:before="156" w:beforeLines="50" w:line="360" w:lineRule="auto"/>
        <w:ind w:firstLine="420" w:firstLineChars="200"/>
        <w:rPr>
          <w:rFonts w:ascii="Times New Roman" w:hAnsi="Times New Roman" w:eastAsiaTheme="minorEastAsia"/>
          <w:highlight w:val="none"/>
        </w:rPr>
      </w:pPr>
      <w:r>
        <w:rPr>
          <w:rFonts w:ascii="Times New Roman" w:hAnsi="Times New Roman" w:eastAsiaTheme="minorEastAsia"/>
          <w:highlight w:val="none"/>
        </w:rPr>
        <w:t>本合同自生效。</w:t>
      </w:r>
    </w:p>
    <w:p>
      <w:pPr>
        <w:adjustRightInd w:val="0"/>
        <w:snapToGrid w:val="0"/>
        <w:spacing w:before="156" w:beforeLines="50" w:line="360" w:lineRule="auto"/>
        <w:ind w:firstLine="310" w:firstLineChars="147"/>
        <w:rPr>
          <w:rFonts w:ascii="Times New Roman" w:hAnsi="Times New Roman" w:eastAsiaTheme="minorEastAsia"/>
          <w:b/>
          <w:highlight w:val="none"/>
        </w:rPr>
      </w:pPr>
      <w:r>
        <w:rPr>
          <w:rFonts w:ascii="Times New Roman" w:hAnsi="Times New Roman" w:eastAsiaTheme="minorEastAsia"/>
          <w:b/>
          <w:highlight w:val="none"/>
        </w:rPr>
        <w:t>8.合同份数</w:t>
      </w:r>
    </w:p>
    <w:p>
      <w:pPr>
        <w:adjustRightInd w:val="0"/>
        <w:snapToGrid w:val="0"/>
        <w:spacing w:before="156" w:beforeLines="50" w:line="360" w:lineRule="auto"/>
        <w:ind w:firstLine="420" w:firstLineChars="200"/>
        <w:rPr>
          <w:rFonts w:ascii="Times New Roman" w:hAnsi="Times New Roman" w:eastAsiaTheme="minorEastAsia"/>
          <w:highlight w:val="none"/>
        </w:rPr>
      </w:pPr>
      <w:r>
        <w:rPr>
          <w:rFonts w:ascii="Times New Roman" w:hAnsi="Times New Roman" w:eastAsiaTheme="minorEastAsia"/>
          <w:highlight w:val="none"/>
        </w:rPr>
        <w:t>本合同一式份，采购人执份，供应商执份，均具有同等法律效力。</w:t>
      </w:r>
    </w:p>
    <w:p>
      <w:pPr>
        <w:adjustRightInd w:val="0"/>
        <w:snapToGrid w:val="0"/>
        <w:spacing w:before="156" w:beforeLines="50" w:line="360" w:lineRule="auto"/>
        <w:rPr>
          <w:rFonts w:ascii="Times New Roman" w:hAnsi="Times New Roman" w:eastAsiaTheme="minorEastAsia"/>
          <w:highlight w:val="none"/>
        </w:rPr>
      </w:pPr>
    </w:p>
    <w:p>
      <w:pPr>
        <w:adjustRightInd w:val="0"/>
        <w:snapToGrid w:val="0"/>
        <w:spacing w:before="156" w:beforeLines="50" w:line="360" w:lineRule="auto"/>
        <w:rPr>
          <w:rFonts w:ascii="Times New Roman" w:hAnsi="Times New Roman" w:eastAsiaTheme="minorEastAsia"/>
          <w:highlight w:val="none"/>
        </w:rPr>
      </w:pPr>
      <w:r>
        <w:rPr>
          <w:rFonts w:ascii="Times New Roman" w:hAnsi="Times New Roman" w:eastAsiaTheme="minorEastAsia"/>
          <w:highlight w:val="none"/>
        </w:rPr>
        <w:t>合同订立时间：</w:t>
      </w:r>
      <w:r>
        <w:rPr>
          <w:rFonts w:hint="eastAsia" w:ascii="Times New Roman" w:hAnsi="Times New Roman" w:eastAsiaTheme="minorEastAsia"/>
          <w:highlight w:val="none"/>
        </w:rPr>
        <w:t xml:space="preserve"> </w:t>
      </w:r>
      <w:r>
        <w:rPr>
          <w:rFonts w:ascii="Times New Roman" w:hAnsi="Times New Roman" w:eastAsiaTheme="minorEastAsia"/>
          <w:highlight w:val="none"/>
        </w:rPr>
        <w:t>年</w:t>
      </w:r>
      <w:r>
        <w:rPr>
          <w:rFonts w:hint="eastAsia" w:ascii="Times New Roman" w:hAnsi="Times New Roman" w:eastAsiaTheme="minorEastAsia"/>
          <w:highlight w:val="none"/>
        </w:rPr>
        <w:t xml:space="preserve">  </w:t>
      </w:r>
      <w:r>
        <w:rPr>
          <w:rFonts w:ascii="Times New Roman" w:hAnsi="Times New Roman" w:eastAsiaTheme="minorEastAsia"/>
          <w:highlight w:val="none"/>
        </w:rPr>
        <w:t>月</w:t>
      </w:r>
      <w:r>
        <w:rPr>
          <w:rFonts w:hint="eastAsia" w:ascii="Times New Roman" w:hAnsi="Times New Roman" w:eastAsiaTheme="minorEastAsia"/>
          <w:highlight w:val="none"/>
        </w:rPr>
        <w:t xml:space="preserve">  </w:t>
      </w:r>
      <w:r>
        <w:rPr>
          <w:rFonts w:ascii="Times New Roman" w:hAnsi="Times New Roman" w:eastAsiaTheme="minorEastAsia"/>
          <w:highlight w:val="none"/>
        </w:rPr>
        <w:t>日</w:t>
      </w:r>
    </w:p>
    <w:p>
      <w:pPr>
        <w:adjustRightInd w:val="0"/>
        <w:snapToGrid w:val="0"/>
        <w:spacing w:before="156" w:beforeLines="50" w:line="360" w:lineRule="auto"/>
        <w:rPr>
          <w:rFonts w:ascii="Times New Roman" w:hAnsi="Times New Roman" w:eastAsiaTheme="minorEastAsia"/>
          <w:highlight w:val="none"/>
        </w:rPr>
      </w:pPr>
      <w:r>
        <w:rPr>
          <w:rFonts w:ascii="Times New Roman" w:hAnsi="Times New Roman" w:eastAsiaTheme="minorEastAsia"/>
          <w:highlight w:val="none"/>
        </w:rPr>
        <w:t>合同订立地点：</w:t>
      </w:r>
    </w:p>
    <w:p>
      <w:pPr>
        <w:adjustRightInd w:val="0"/>
        <w:snapToGrid w:val="0"/>
        <w:spacing w:before="156" w:beforeLines="50" w:line="360" w:lineRule="auto"/>
        <w:rPr>
          <w:rFonts w:ascii="Times New Roman" w:hAnsi="Times New Roman" w:eastAsiaTheme="minorEastAsia"/>
          <w:highlight w:val="none"/>
        </w:rPr>
      </w:pPr>
      <w:r>
        <w:rPr>
          <w:rFonts w:ascii="Times New Roman" w:hAnsi="Times New Roman" w:eastAsiaTheme="minorEastAsia"/>
          <w:highlight w:val="none"/>
        </w:rPr>
        <w:t>甲      方：（公章）                     乙      方：（公章）</w:t>
      </w:r>
    </w:p>
    <w:p>
      <w:pPr>
        <w:adjustRightInd w:val="0"/>
        <w:snapToGrid w:val="0"/>
        <w:spacing w:before="156" w:beforeLines="50" w:line="360" w:lineRule="auto"/>
        <w:rPr>
          <w:rFonts w:ascii="Times New Roman" w:hAnsi="Times New Roman" w:eastAsiaTheme="minorEastAsia"/>
          <w:highlight w:val="none"/>
        </w:rPr>
      </w:pPr>
      <w:r>
        <w:rPr>
          <w:rFonts w:ascii="Times New Roman" w:hAnsi="Times New Roman" w:eastAsiaTheme="minorEastAsia"/>
          <w:highlight w:val="none"/>
        </w:rPr>
        <w:t xml:space="preserve">法定代表人：         </w:t>
      </w:r>
      <w:r>
        <w:rPr>
          <w:rFonts w:hint="eastAsia" w:ascii="Times New Roman" w:hAnsi="Times New Roman" w:eastAsiaTheme="minorEastAsia"/>
          <w:highlight w:val="none"/>
        </w:rPr>
        <w:t xml:space="preserve">                    </w:t>
      </w:r>
      <w:r>
        <w:rPr>
          <w:rFonts w:ascii="Times New Roman" w:hAnsi="Times New Roman" w:eastAsiaTheme="minorEastAsia"/>
          <w:highlight w:val="none"/>
        </w:rPr>
        <w:t>法定代表人：</w:t>
      </w:r>
    </w:p>
    <w:p>
      <w:pPr>
        <w:adjustRightInd w:val="0"/>
        <w:snapToGrid w:val="0"/>
        <w:spacing w:before="156" w:beforeLines="50" w:line="360" w:lineRule="auto"/>
        <w:rPr>
          <w:rFonts w:ascii="Times New Roman" w:hAnsi="Times New Roman" w:eastAsiaTheme="minorEastAsia"/>
          <w:highlight w:val="none"/>
        </w:rPr>
      </w:pPr>
      <w:r>
        <w:rPr>
          <w:rFonts w:ascii="Times New Roman" w:hAnsi="Times New Roman" w:eastAsiaTheme="minorEastAsia"/>
          <w:highlight w:val="none"/>
        </w:rPr>
        <w:t xml:space="preserve">委托代理人：         </w:t>
      </w:r>
      <w:r>
        <w:rPr>
          <w:rFonts w:hint="eastAsia" w:ascii="Times New Roman" w:hAnsi="Times New Roman" w:eastAsiaTheme="minorEastAsia"/>
          <w:highlight w:val="none"/>
        </w:rPr>
        <w:t xml:space="preserve">                    </w:t>
      </w:r>
      <w:r>
        <w:rPr>
          <w:rFonts w:ascii="Times New Roman" w:hAnsi="Times New Roman" w:eastAsiaTheme="minorEastAsia"/>
          <w:highlight w:val="none"/>
        </w:rPr>
        <w:t>委托代理人：</w:t>
      </w:r>
    </w:p>
    <w:p>
      <w:pPr>
        <w:adjustRightInd w:val="0"/>
        <w:snapToGrid w:val="0"/>
        <w:spacing w:before="156" w:beforeLines="50" w:line="360" w:lineRule="auto"/>
        <w:rPr>
          <w:rFonts w:ascii="Times New Roman" w:hAnsi="Times New Roman" w:eastAsiaTheme="minorEastAsia"/>
          <w:highlight w:val="none"/>
        </w:rPr>
      </w:pPr>
      <w:r>
        <w:rPr>
          <w:rFonts w:ascii="Times New Roman" w:hAnsi="Times New Roman" w:eastAsiaTheme="minorEastAsia"/>
          <w:highlight w:val="none"/>
        </w:rPr>
        <w:t xml:space="preserve">电      话：         </w:t>
      </w:r>
      <w:r>
        <w:rPr>
          <w:rFonts w:hint="eastAsia" w:ascii="Times New Roman" w:hAnsi="Times New Roman" w:eastAsiaTheme="minorEastAsia"/>
          <w:highlight w:val="none"/>
        </w:rPr>
        <w:t xml:space="preserve">                    </w:t>
      </w:r>
      <w:r>
        <w:rPr>
          <w:rFonts w:ascii="Times New Roman" w:hAnsi="Times New Roman" w:eastAsiaTheme="minorEastAsia"/>
          <w:highlight w:val="none"/>
        </w:rPr>
        <w:t>电      话：</w:t>
      </w:r>
    </w:p>
    <w:p>
      <w:pPr>
        <w:adjustRightInd w:val="0"/>
        <w:snapToGrid w:val="0"/>
        <w:spacing w:before="156" w:beforeLines="50" w:line="360" w:lineRule="auto"/>
        <w:rPr>
          <w:rFonts w:ascii="Times New Roman" w:hAnsi="Times New Roman" w:eastAsiaTheme="minorEastAsia"/>
          <w:highlight w:val="none"/>
        </w:rPr>
      </w:pPr>
      <w:r>
        <w:rPr>
          <w:rFonts w:ascii="Times New Roman" w:hAnsi="Times New Roman" w:eastAsiaTheme="minorEastAsia"/>
          <w:highlight w:val="none"/>
        </w:rPr>
        <w:t xml:space="preserve">传      真：         </w:t>
      </w:r>
      <w:r>
        <w:rPr>
          <w:rFonts w:hint="eastAsia" w:ascii="Times New Roman" w:hAnsi="Times New Roman" w:eastAsiaTheme="minorEastAsia"/>
          <w:highlight w:val="none"/>
        </w:rPr>
        <w:t xml:space="preserve">                    </w:t>
      </w:r>
      <w:r>
        <w:rPr>
          <w:rFonts w:ascii="Times New Roman" w:hAnsi="Times New Roman" w:eastAsiaTheme="minorEastAsia"/>
          <w:highlight w:val="none"/>
        </w:rPr>
        <w:t>传      真：</w:t>
      </w:r>
    </w:p>
    <w:p>
      <w:pPr>
        <w:adjustRightInd w:val="0"/>
        <w:snapToGrid w:val="0"/>
        <w:spacing w:before="156" w:beforeLines="50" w:line="360" w:lineRule="auto"/>
        <w:ind w:firstLine="420" w:firstLineChars="200"/>
        <w:rPr>
          <w:rFonts w:ascii="Times New Roman" w:hAnsi="Times New Roman" w:eastAsiaTheme="minorEastAsia"/>
          <w:highlight w:val="none"/>
        </w:rPr>
      </w:pPr>
      <w:r>
        <w:rPr>
          <w:rFonts w:ascii="Times New Roman" w:hAnsi="Times New Roman" w:eastAsiaTheme="minorEastAsia"/>
          <w:highlight w:val="none"/>
        </w:rPr>
        <w:t xml:space="preserve">                                    开 户 银 行</w:t>
      </w:r>
      <w:r>
        <w:rPr>
          <w:rFonts w:hint="eastAsia" w:ascii="Times New Roman" w:hAnsi="Times New Roman" w:eastAsiaTheme="minorEastAsia"/>
          <w:highlight w:val="none"/>
        </w:rPr>
        <w:t>：</w:t>
      </w:r>
    </w:p>
    <w:p>
      <w:pPr>
        <w:adjustRightInd w:val="0"/>
        <w:snapToGrid w:val="0"/>
        <w:spacing w:before="156" w:beforeLines="50" w:line="360" w:lineRule="auto"/>
        <w:ind w:firstLine="4200" w:firstLineChars="2000"/>
        <w:rPr>
          <w:rFonts w:ascii="Times New Roman" w:hAnsi="Times New Roman" w:eastAsiaTheme="minorEastAsia"/>
          <w:highlight w:val="none"/>
        </w:rPr>
      </w:pPr>
      <w:r>
        <w:rPr>
          <w:rFonts w:ascii="Times New Roman" w:hAnsi="Times New Roman" w:eastAsiaTheme="minorEastAsia"/>
          <w:highlight w:val="none"/>
        </w:rPr>
        <w:t>帐       号：</w:t>
      </w:r>
      <w:bookmarkStart w:id="4" w:name="_Toc23089"/>
      <w:bookmarkStart w:id="5" w:name="_Toc18102"/>
      <w:bookmarkStart w:id="6" w:name="_Toc87259952"/>
    </w:p>
    <w:p>
      <w:pPr>
        <w:adjustRightInd w:val="0"/>
        <w:snapToGrid w:val="0"/>
        <w:spacing w:before="156" w:beforeLines="50" w:line="360" w:lineRule="auto"/>
        <w:ind w:firstLine="643" w:firstLineChars="200"/>
        <w:jc w:val="center"/>
        <w:rPr>
          <w:rFonts w:ascii="宋体" w:hAnsi="宋体" w:cs="宋体"/>
          <w:b/>
          <w:bCs/>
          <w:sz w:val="32"/>
          <w:szCs w:val="32"/>
          <w:highlight w:val="none"/>
        </w:rPr>
      </w:pPr>
      <w:r>
        <w:rPr>
          <w:rFonts w:hint="eastAsia" w:ascii="宋体" w:hAnsi="宋体" w:cs="宋体"/>
          <w:b/>
          <w:bCs/>
          <w:sz w:val="32"/>
          <w:szCs w:val="32"/>
          <w:highlight w:val="none"/>
        </w:rPr>
        <w:t>2、政府采购合同通用条款</w:t>
      </w:r>
      <w:bookmarkEnd w:id="4"/>
      <w:bookmarkEnd w:id="5"/>
      <w:bookmarkEnd w:id="6"/>
    </w:p>
    <w:p>
      <w:pPr>
        <w:tabs>
          <w:tab w:val="left" w:pos="8820"/>
          <w:tab w:val="left" w:pos="9345"/>
          <w:tab w:val="left" w:pos="9765"/>
        </w:tabs>
        <w:adjustRightInd w:val="0"/>
        <w:snapToGrid w:val="0"/>
        <w:spacing w:before="50" w:line="360" w:lineRule="auto"/>
        <w:jc w:val="left"/>
        <w:rPr>
          <w:rFonts w:ascii="Times New Roman" w:hAnsi="Times New Roman" w:eastAsiaTheme="minorEastAsia"/>
          <w:b/>
          <w:bCs/>
          <w:sz w:val="24"/>
          <w:highlight w:val="none"/>
        </w:rPr>
      </w:pPr>
      <w:r>
        <w:rPr>
          <w:rFonts w:ascii="Times New Roman" w:hAnsi="Times New Roman" w:eastAsiaTheme="minorEastAsia"/>
          <w:b/>
          <w:sz w:val="24"/>
          <w:highlight w:val="none"/>
        </w:rPr>
        <w:t>1.</w:t>
      </w:r>
      <w:r>
        <w:rPr>
          <w:rFonts w:ascii="Times New Roman" w:hAnsi="Times New Roman" w:eastAsiaTheme="minorEastAsia"/>
          <w:b/>
          <w:bCs/>
          <w:sz w:val="24"/>
          <w:highlight w:val="none"/>
        </w:rPr>
        <w:t>定义</w:t>
      </w:r>
    </w:p>
    <w:p>
      <w:pPr>
        <w:autoSpaceDE w:val="0"/>
        <w:autoSpaceDN w:val="0"/>
        <w:adjustRightInd w:val="0"/>
        <w:snapToGrid w:val="0"/>
        <w:spacing w:before="50" w:line="360" w:lineRule="auto"/>
        <w:ind w:firstLine="420" w:firstLineChars="200"/>
        <w:jc w:val="left"/>
        <w:rPr>
          <w:rFonts w:ascii="Times New Roman" w:hAnsi="Times New Roman" w:eastAsiaTheme="minorEastAsia"/>
          <w:highlight w:val="none"/>
        </w:rPr>
      </w:pPr>
      <w:r>
        <w:rPr>
          <w:rFonts w:ascii="Times New Roman" w:hAnsi="Times New Roman" w:eastAsiaTheme="minorEastAsia"/>
          <w:highlight w:val="none"/>
        </w:rPr>
        <w:t>1.1合同当事人</w:t>
      </w:r>
    </w:p>
    <w:p>
      <w:pPr>
        <w:autoSpaceDE w:val="0"/>
        <w:autoSpaceDN w:val="0"/>
        <w:adjustRightInd w:val="0"/>
        <w:snapToGrid w:val="0"/>
        <w:spacing w:before="50" w:line="360" w:lineRule="auto"/>
        <w:ind w:firstLine="420" w:firstLineChars="200"/>
        <w:jc w:val="left"/>
        <w:rPr>
          <w:rFonts w:ascii="Times New Roman" w:hAnsi="Times New Roman" w:eastAsiaTheme="minorEastAsia"/>
          <w:highlight w:val="none"/>
        </w:rPr>
      </w:pPr>
      <w:r>
        <w:rPr>
          <w:rFonts w:ascii="Times New Roman" w:hAnsi="Times New Roman" w:eastAsiaTheme="minorEastAsia"/>
          <w:highlight w:val="none"/>
        </w:rPr>
        <w:t>（1）采购人（以下称甲方）是指使用财政性资金，通过政府采购程序向供应商购买货物、服务的国家机关、事业单位、团体组织。本次采购的甲方名称、地址见</w:t>
      </w:r>
      <w:r>
        <w:rPr>
          <w:rFonts w:ascii="Times New Roman" w:hAnsi="Times New Roman" w:eastAsiaTheme="minorEastAsia"/>
          <w:b/>
          <w:highlight w:val="none"/>
        </w:rPr>
        <w:t>【政府采购合同专用条款】。</w:t>
      </w:r>
    </w:p>
    <w:p>
      <w:pPr>
        <w:autoSpaceDE w:val="0"/>
        <w:autoSpaceDN w:val="0"/>
        <w:adjustRightInd w:val="0"/>
        <w:snapToGrid w:val="0"/>
        <w:spacing w:before="50" w:line="360" w:lineRule="auto"/>
        <w:ind w:firstLine="420" w:firstLineChars="200"/>
        <w:jc w:val="left"/>
        <w:rPr>
          <w:rFonts w:ascii="Times New Roman" w:hAnsi="Times New Roman" w:eastAsiaTheme="minorEastAsia"/>
          <w:b/>
          <w:highlight w:val="none"/>
        </w:rPr>
      </w:pPr>
      <w:r>
        <w:rPr>
          <w:rFonts w:ascii="Times New Roman" w:hAnsi="Times New Roman" w:eastAsiaTheme="minorEastAsia"/>
          <w:highlight w:val="none"/>
        </w:rPr>
        <w:t>（2）供应商（以下称乙方）是指参加政府采购活动而取得中标结果，并向采购人提供货物、服务的法人、其他组织或者自然人。</w:t>
      </w:r>
    </w:p>
    <w:p>
      <w:pPr>
        <w:tabs>
          <w:tab w:val="left" w:pos="570"/>
          <w:tab w:val="left" w:pos="9240"/>
          <w:tab w:val="left" w:pos="9555"/>
        </w:tabs>
        <w:adjustRightInd w:val="0"/>
        <w:snapToGrid w:val="0"/>
        <w:spacing w:before="50" w:line="360" w:lineRule="auto"/>
        <w:ind w:firstLine="420" w:firstLineChars="200"/>
        <w:jc w:val="left"/>
        <w:rPr>
          <w:rFonts w:ascii="Times New Roman" w:hAnsi="Times New Roman" w:eastAsiaTheme="minorEastAsia"/>
          <w:highlight w:val="none"/>
        </w:rPr>
      </w:pPr>
      <w:r>
        <w:rPr>
          <w:rFonts w:ascii="Times New Roman" w:hAnsi="Times New Roman" w:eastAsiaTheme="minorEastAsia"/>
          <w:highlight w:val="none"/>
        </w:rPr>
        <w:t>1.2本合同下列术语应解释为：</w:t>
      </w:r>
    </w:p>
    <w:p>
      <w:pPr>
        <w:tabs>
          <w:tab w:val="left" w:pos="570"/>
          <w:tab w:val="left" w:pos="9240"/>
          <w:tab w:val="left" w:pos="9555"/>
        </w:tabs>
        <w:adjustRightInd w:val="0"/>
        <w:snapToGrid w:val="0"/>
        <w:spacing w:before="50" w:line="360" w:lineRule="auto"/>
        <w:ind w:firstLine="420" w:firstLineChars="200"/>
        <w:jc w:val="left"/>
        <w:rPr>
          <w:rFonts w:ascii="Times New Roman" w:hAnsi="Times New Roman" w:eastAsiaTheme="minorEastAsia"/>
          <w:highlight w:val="none"/>
        </w:rPr>
      </w:pPr>
      <w:r>
        <w:rPr>
          <w:rFonts w:ascii="Times New Roman" w:hAnsi="Times New Roman" w:eastAsiaTheme="minorEastAsia"/>
          <w:highlight w:val="none"/>
        </w:rPr>
        <w:t>（1）“合同”系指甲乙双方签署的、政府采购合同协议书中载明的甲乙双方所达成的协议，包括所有的附件、附录和上述文件所提到的构成合同的所有文件。</w:t>
      </w:r>
    </w:p>
    <w:p>
      <w:pPr>
        <w:tabs>
          <w:tab w:val="left" w:pos="570"/>
          <w:tab w:val="left" w:pos="9240"/>
          <w:tab w:val="left" w:pos="9555"/>
        </w:tabs>
        <w:adjustRightInd w:val="0"/>
        <w:snapToGrid w:val="0"/>
        <w:spacing w:before="50" w:line="360" w:lineRule="auto"/>
        <w:ind w:firstLine="420" w:firstLineChars="200"/>
        <w:jc w:val="left"/>
        <w:rPr>
          <w:rFonts w:ascii="Times New Roman" w:hAnsi="Times New Roman" w:eastAsiaTheme="minorEastAsia"/>
          <w:highlight w:val="none"/>
        </w:rPr>
      </w:pPr>
      <w:r>
        <w:rPr>
          <w:rFonts w:ascii="Times New Roman" w:hAnsi="Times New Roman" w:eastAsiaTheme="minorEastAsia"/>
          <w:highlight w:val="none"/>
        </w:rPr>
        <w:t>（2）“合同价”系指根据本合同规定乙方在正确地完全履行合同义务后甲方应支付给乙方的价款。</w:t>
      </w:r>
    </w:p>
    <w:p>
      <w:pPr>
        <w:tabs>
          <w:tab w:val="left" w:pos="570"/>
          <w:tab w:val="left" w:pos="9240"/>
          <w:tab w:val="left" w:pos="9555"/>
        </w:tabs>
        <w:adjustRightInd w:val="0"/>
        <w:snapToGrid w:val="0"/>
        <w:spacing w:before="50" w:line="360" w:lineRule="auto"/>
        <w:ind w:firstLine="420" w:firstLineChars="200"/>
        <w:jc w:val="left"/>
        <w:rPr>
          <w:rFonts w:ascii="Times New Roman" w:hAnsi="Times New Roman" w:eastAsiaTheme="minorEastAsia"/>
          <w:highlight w:val="none"/>
        </w:rPr>
      </w:pPr>
      <w:r>
        <w:rPr>
          <w:rFonts w:ascii="Times New Roman" w:hAnsi="Times New Roman" w:eastAsiaTheme="minorEastAsia"/>
          <w:highlight w:val="none"/>
        </w:rPr>
        <w:t>（3）“货物”系指乙方根据本合同规定须向甲方提供的各种形态和种类的物品，包括原材料、设备、产品（包括软件）及相关的其备品备件、工具、手册及其它技术资料和材料。</w:t>
      </w:r>
    </w:p>
    <w:p>
      <w:pPr>
        <w:tabs>
          <w:tab w:val="left" w:pos="570"/>
          <w:tab w:val="left" w:pos="8880"/>
          <w:tab w:val="left" w:pos="9555"/>
        </w:tabs>
        <w:adjustRightInd w:val="0"/>
        <w:snapToGrid w:val="0"/>
        <w:spacing w:before="50" w:line="360" w:lineRule="auto"/>
        <w:ind w:firstLine="420" w:firstLineChars="200"/>
        <w:jc w:val="left"/>
        <w:rPr>
          <w:rFonts w:ascii="Times New Roman" w:hAnsi="Times New Roman" w:eastAsiaTheme="minorEastAsia"/>
          <w:highlight w:val="none"/>
        </w:rPr>
      </w:pPr>
      <w:r>
        <w:rPr>
          <w:rFonts w:ascii="Times New Roman" w:hAnsi="Times New Roman" w:eastAsiaTheme="minorEastAsia"/>
          <w:highlight w:val="none"/>
        </w:rPr>
        <w:t>（4）“服务”系指根据合同规定，乙方应提供的技术、管理和其它服务，包括但不限于：管理和质量保证、运输、保险、检验、现场准备、安装、集成、调试、培训、维修、技术支持等以及合同中规定乙方应承担的其它义务。</w:t>
      </w:r>
    </w:p>
    <w:p>
      <w:pPr>
        <w:tabs>
          <w:tab w:val="left" w:pos="570"/>
          <w:tab w:val="left" w:pos="9240"/>
          <w:tab w:val="left" w:pos="9555"/>
        </w:tabs>
        <w:adjustRightInd w:val="0"/>
        <w:snapToGrid w:val="0"/>
        <w:spacing w:before="50" w:line="360" w:lineRule="auto"/>
        <w:ind w:firstLine="420" w:firstLineChars="200"/>
        <w:jc w:val="left"/>
        <w:rPr>
          <w:rFonts w:ascii="Times New Roman" w:hAnsi="Times New Roman" w:eastAsiaTheme="minorEastAsia"/>
          <w:highlight w:val="none"/>
        </w:rPr>
      </w:pPr>
      <w:r>
        <w:rPr>
          <w:rFonts w:ascii="Times New Roman" w:hAnsi="Times New Roman" w:eastAsiaTheme="minorEastAsia"/>
          <w:highlight w:val="none"/>
        </w:rPr>
        <w:t>（5）“合同条款”系指本合同条款。</w:t>
      </w:r>
    </w:p>
    <w:p>
      <w:pPr>
        <w:tabs>
          <w:tab w:val="left" w:pos="570"/>
          <w:tab w:val="left" w:pos="9240"/>
          <w:tab w:val="left" w:pos="9555"/>
        </w:tabs>
        <w:adjustRightInd w:val="0"/>
        <w:snapToGrid w:val="0"/>
        <w:spacing w:before="50" w:line="360" w:lineRule="auto"/>
        <w:ind w:firstLine="420" w:firstLineChars="200"/>
        <w:jc w:val="left"/>
        <w:rPr>
          <w:rFonts w:ascii="Times New Roman" w:hAnsi="Times New Roman" w:eastAsiaTheme="minorEastAsia"/>
          <w:highlight w:val="none"/>
        </w:rPr>
      </w:pPr>
      <w:r>
        <w:rPr>
          <w:rFonts w:ascii="Times New Roman" w:hAnsi="Times New Roman" w:eastAsiaTheme="minorEastAsia"/>
          <w:highlight w:val="none"/>
        </w:rPr>
        <w:t>（6）“项目现场”系指本合同项下货物安装、运行的现场，其名称见</w:t>
      </w:r>
      <w:r>
        <w:rPr>
          <w:rFonts w:ascii="Times New Roman" w:hAnsi="Times New Roman" w:eastAsiaTheme="minorEastAsia"/>
          <w:b/>
          <w:highlight w:val="none"/>
        </w:rPr>
        <w:t>【政府采购合同专用条款】</w:t>
      </w:r>
      <w:r>
        <w:rPr>
          <w:rFonts w:ascii="Times New Roman" w:hAnsi="Times New Roman" w:eastAsiaTheme="minorEastAsia"/>
          <w:highlight w:val="none"/>
        </w:rPr>
        <w:t>。</w:t>
      </w:r>
    </w:p>
    <w:p>
      <w:pPr>
        <w:autoSpaceDE w:val="0"/>
        <w:autoSpaceDN w:val="0"/>
        <w:adjustRightInd w:val="0"/>
        <w:snapToGrid w:val="0"/>
        <w:spacing w:before="50" w:line="360" w:lineRule="auto"/>
        <w:jc w:val="left"/>
        <w:rPr>
          <w:rFonts w:ascii="Times New Roman" w:hAnsi="Times New Roman" w:eastAsiaTheme="minorEastAsia"/>
          <w:b/>
          <w:sz w:val="24"/>
          <w:highlight w:val="none"/>
        </w:rPr>
      </w:pPr>
      <w:r>
        <w:rPr>
          <w:rFonts w:ascii="Times New Roman" w:hAnsi="Times New Roman" w:eastAsiaTheme="minorEastAsia"/>
          <w:b/>
          <w:sz w:val="24"/>
          <w:highlight w:val="none"/>
        </w:rPr>
        <w:t>2.合同的适用范围</w:t>
      </w:r>
    </w:p>
    <w:p>
      <w:pPr>
        <w:autoSpaceDE w:val="0"/>
        <w:autoSpaceDN w:val="0"/>
        <w:adjustRightInd w:val="0"/>
        <w:snapToGrid w:val="0"/>
        <w:spacing w:before="50" w:line="360" w:lineRule="auto"/>
        <w:ind w:firstLine="420" w:firstLineChars="200"/>
        <w:jc w:val="left"/>
        <w:rPr>
          <w:rFonts w:ascii="Times New Roman" w:hAnsi="Times New Roman" w:eastAsiaTheme="minorEastAsia"/>
          <w:highlight w:val="none"/>
        </w:rPr>
      </w:pPr>
      <w:r>
        <w:rPr>
          <w:rFonts w:ascii="Times New Roman" w:hAnsi="Times New Roman" w:eastAsiaTheme="minorEastAsia"/>
          <w:highlight w:val="none"/>
        </w:rPr>
        <w:t>2.1 本合同条款适用于没有被本合同其他部分的条款所取代的范围。</w:t>
      </w:r>
    </w:p>
    <w:p>
      <w:pPr>
        <w:autoSpaceDE w:val="0"/>
        <w:autoSpaceDN w:val="0"/>
        <w:adjustRightInd w:val="0"/>
        <w:snapToGrid w:val="0"/>
        <w:spacing w:before="50" w:line="360" w:lineRule="auto"/>
        <w:ind w:firstLine="420" w:firstLineChars="200"/>
        <w:jc w:val="left"/>
        <w:rPr>
          <w:rFonts w:ascii="Times New Roman" w:hAnsi="Times New Roman" w:eastAsiaTheme="minorEastAsia"/>
          <w:highlight w:val="none"/>
        </w:rPr>
      </w:pPr>
      <w:r>
        <w:rPr>
          <w:rFonts w:ascii="Times New Roman" w:hAnsi="Times New Roman" w:eastAsiaTheme="minorEastAsia"/>
          <w:highlight w:val="none"/>
        </w:rPr>
        <w:t>2.2 合同内容根据采购文件、响应文件而确定。</w:t>
      </w:r>
    </w:p>
    <w:p>
      <w:pPr>
        <w:autoSpaceDE w:val="0"/>
        <w:autoSpaceDN w:val="0"/>
        <w:adjustRightInd w:val="0"/>
        <w:snapToGrid w:val="0"/>
        <w:spacing w:before="50" w:line="360" w:lineRule="auto"/>
        <w:jc w:val="left"/>
        <w:rPr>
          <w:rFonts w:ascii="Times New Roman" w:hAnsi="Times New Roman" w:eastAsiaTheme="minorEastAsia"/>
          <w:b/>
          <w:bCs/>
          <w:sz w:val="24"/>
          <w:highlight w:val="none"/>
        </w:rPr>
      </w:pPr>
      <w:r>
        <w:rPr>
          <w:rFonts w:ascii="Times New Roman" w:hAnsi="Times New Roman" w:eastAsiaTheme="minorEastAsia"/>
          <w:b/>
          <w:bCs/>
          <w:sz w:val="24"/>
          <w:highlight w:val="none"/>
        </w:rPr>
        <w:t>3.</w:t>
      </w:r>
      <w:r>
        <w:rPr>
          <w:rFonts w:ascii="Times New Roman" w:hAnsi="Times New Roman" w:eastAsiaTheme="minorEastAsia"/>
          <w:b/>
          <w:sz w:val="24"/>
          <w:highlight w:val="none"/>
        </w:rPr>
        <w:t>合同标的及金额</w:t>
      </w:r>
    </w:p>
    <w:p>
      <w:pPr>
        <w:autoSpaceDE w:val="0"/>
        <w:autoSpaceDN w:val="0"/>
        <w:adjustRightInd w:val="0"/>
        <w:snapToGrid w:val="0"/>
        <w:spacing w:before="50" w:line="360" w:lineRule="auto"/>
        <w:ind w:firstLine="420" w:firstLineChars="200"/>
        <w:jc w:val="left"/>
        <w:rPr>
          <w:rFonts w:ascii="Times New Roman" w:hAnsi="Times New Roman" w:eastAsiaTheme="minorEastAsia"/>
          <w:highlight w:val="none"/>
        </w:rPr>
      </w:pPr>
      <w:r>
        <w:rPr>
          <w:rFonts w:ascii="Times New Roman" w:hAnsi="Times New Roman" w:eastAsiaTheme="minorEastAsia"/>
          <w:highlight w:val="none"/>
        </w:rPr>
        <w:t>3.1 合同标的及金额应与中标结果一致。</w:t>
      </w:r>
    </w:p>
    <w:p>
      <w:pPr>
        <w:autoSpaceDE w:val="0"/>
        <w:autoSpaceDN w:val="0"/>
        <w:adjustRightInd w:val="0"/>
        <w:snapToGrid w:val="0"/>
        <w:spacing w:before="50" w:line="360" w:lineRule="auto"/>
        <w:jc w:val="left"/>
        <w:rPr>
          <w:rFonts w:ascii="Times New Roman" w:hAnsi="Times New Roman" w:eastAsiaTheme="minorEastAsia"/>
          <w:b/>
          <w:bCs/>
          <w:sz w:val="24"/>
          <w:highlight w:val="none"/>
        </w:rPr>
      </w:pPr>
      <w:r>
        <w:rPr>
          <w:rFonts w:ascii="Times New Roman" w:hAnsi="Times New Roman" w:eastAsiaTheme="minorEastAsia"/>
          <w:b/>
          <w:bCs/>
          <w:sz w:val="24"/>
          <w:highlight w:val="none"/>
        </w:rPr>
        <w:t>4.</w:t>
      </w:r>
      <w:r>
        <w:rPr>
          <w:rFonts w:ascii="Times New Roman" w:hAnsi="Times New Roman" w:eastAsiaTheme="minorEastAsia"/>
          <w:b/>
          <w:sz w:val="24"/>
          <w:highlight w:val="none"/>
        </w:rPr>
        <w:t>合同价款</w:t>
      </w:r>
    </w:p>
    <w:p>
      <w:pPr>
        <w:adjustRightInd w:val="0"/>
        <w:snapToGrid w:val="0"/>
        <w:spacing w:before="50" w:line="360" w:lineRule="auto"/>
        <w:ind w:firstLine="420" w:firstLineChars="200"/>
        <w:jc w:val="left"/>
        <w:rPr>
          <w:rFonts w:ascii="Times New Roman" w:hAnsi="Times New Roman" w:eastAsiaTheme="minorEastAsia"/>
          <w:b/>
          <w:bCs/>
          <w:i/>
          <w:iCs/>
          <w:highlight w:val="none"/>
        </w:rPr>
      </w:pPr>
      <w:r>
        <w:rPr>
          <w:rFonts w:ascii="Times New Roman" w:hAnsi="Times New Roman" w:eastAsiaTheme="minorEastAsia"/>
          <w:highlight w:val="none"/>
        </w:rPr>
        <w:t>4.1具体合同价款见本合同第3.1条。乙方为履行本合同而发生的所有费用均应包含在合同价款中，甲方不再另行支付其它任何费用。</w:t>
      </w:r>
    </w:p>
    <w:p>
      <w:pPr>
        <w:adjustRightInd w:val="0"/>
        <w:snapToGrid w:val="0"/>
        <w:spacing w:before="50" w:line="360" w:lineRule="auto"/>
        <w:jc w:val="left"/>
        <w:rPr>
          <w:rFonts w:ascii="Times New Roman" w:hAnsi="Times New Roman" w:eastAsiaTheme="minorEastAsia"/>
          <w:b/>
          <w:sz w:val="24"/>
          <w:highlight w:val="none"/>
        </w:rPr>
      </w:pPr>
      <w:r>
        <w:rPr>
          <w:rFonts w:ascii="Times New Roman" w:hAnsi="Times New Roman" w:eastAsiaTheme="minorEastAsia"/>
          <w:b/>
          <w:sz w:val="24"/>
          <w:highlight w:val="none"/>
        </w:rPr>
        <w:t>5.履行合同的时间、地点和方式</w:t>
      </w:r>
    </w:p>
    <w:p>
      <w:pPr>
        <w:autoSpaceDE w:val="0"/>
        <w:autoSpaceDN w:val="0"/>
        <w:adjustRightInd w:val="0"/>
        <w:snapToGrid w:val="0"/>
        <w:spacing w:before="50" w:line="360" w:lineRule="auto"/>
        <w:ind w:firstLine="420" w:firstLineChars="200"/>
        <w:jc w:val="left"/>
        <w:rPr>
          <w:rFonts w:ascii="Times New Roman" w:hAnsi="Times New Roman" w:eastAsiaTheme="minorEastAsia"/>
          <w:highlight w:val="none"/>
        </w:rPr>
      </w:pPr>
      <w:r>
        <w:rPr>
          <w:rFonts w:ascii="Times New Roman" w:hAnsi="Times New Roman" w:eastAsiaTheme="minorEastAsia"/>
          <w:highlight w:val="none"/>
        </w:rPr>
        <w:t>5.1 乙方应当在甲方确定的时间、指定的地点履行合同，具体的服务时间、地点和方式见</w:t>
      </w:r>
      <w:r>
        <w:rPr>
          <w:rFonts w:ascii="Times New Roman" w:hAnsi="Times New Roman" w:eastAsiaTheme="minorEastAsia"/>
          <w:b/>
          <w:highlight w:val="none"/>
        </w:rPr>
        <w:t>【政府采购合同专用条款】</w:t>
      </w:r>
      <w:r>
        <w:rPr>
          <w:rFonts w:ascii="Times New Roman" w:hAnsi="Times New Roman" w:eastAsiaTheme="minorEastAsia"/>
          <w:highlight w:val="none"/>
        </w:rPr>
        <w:t>。</w:t>
      </w:r>
    </w:p>
    <w:p>
      <w:pPr>
        <w:autoSpaceDE w:val="0"/>
        <w:autoSpaceDN w:val="0"/>
        <w:adjustRightInd w:val="0"/>
        <w:snapToGrid w:val="0"/>
        <w:spacing w:before="50" w:line="360" w:lineRule="auto"/>
        <w:ind w:firstLine="420" w:firstLineChars="200"/>
        <w:jc w:val="left"/>
        <w:rPr>
          <w:rFonts w:ascii="Times New Roman" w:hAnsi="Times New Roman" w:eastAsiaTheme="minorEastAsia"/>
          <w:highlight w:val="none"/>
        </w:rPr>
      </w:pPr>
      <w:r>
        <w:rPr>
          <w:rFonts w:ascii="Times New Roman" w:hAnsi="Times New Roman" w:eastAsiaTheme="minorEastAsia"/>
          <w:highlight w:val="none"/>
        </w:rPr>
        <w:t>5.2 乙方提供服务的应当在甲方指定的地点完成服务项目。</w:t>
      </w:r>
    </w:p>
    <w:p>
      <w:pPr>
        <w:adjustRightInd w:val="0"/>
        <w:snapToGrid w:val="0"/>
        <w:spacing w:before="50" w:line="360" w:lineRule="auto"/>
        <w:jc w:val="left"/>
        <w:rPr>
          <w:rFonts w:ascii="Times New Roman" w:hAnsi="Times New Roman" w:eastAsiaTheme="minorEastAsia"/>
          <w:b/>
          <w:bCs/>
          <w:sz w:val="24"/>
          <w:highlight w:val="none"/>
        </w:rPr>
      </w:pPr>
      <w:r>
        <w:rPr>
          <w:rFonts w:ascii="Times New Roman" w:hAnsi="Times New Roman" w:eastAsiaTheme="minorEastAsia"/>
          <w:b/>
          <w:bCs/>
          <w:sz w:val="24"/>
          <w:highlight w:val="none"/>
        </w:rPr>
        <w:t>6.服务</w:t>
      </w:r>
      <w:r>
        <w:rPr>
          <w:rFonts w:ascii="Times New Roman" w:hAnsi="Times New Roman" w:eastAsiaTheme="minorEastAsia"/>
          <w:b/>
          <w:sz w:val="24"/>
          <w:highlight w:val="none"/>
        </w:rPr>
        <w:t>的验收</w:t>
      </w:r>
    </w:p>
    <w:p>
      <w:pPr>
        <w:autoSpaceDE w:val="0"/>
        <w:autoSpaceDN w:val="0"/>
        <w:adjustRightInd w:val="0"/>
        <w:snapToGrid w:val="0"/>
        <w:spacing w:before="50" w:line="360" w:lineRule="auto"/>
        <w:ind w:firstLine="420" w:firstLineChars="200"/>
        <w:jc w:val="left"/>
        <w:rPr>
          <w:rFonts w:ascii="Times New Roman" w:hAnsi="Times New Roman" w:eastAsiaTheme="minorEastAsia"/>
          <w:highlight w:val="none"/>
        </w:rPr>
      </w:pPr>
      <w:r>
        <w:rPr>
          <w:rFonts w:ascii="Times New Roman" w:hAnsi="Times New Roman" w:eastAsiaTheme="minorEastAsia"/>
          <w:highlight w:val="none"/>
        </w:rPr>
        <w:t>6.1乙方提供的服务由甲方或者甲方的最终用户负责验收。</w:t>
      </w:r>
    </w:p>
    <w:p>
      <w:pPr>
        <w:autoSpaceDE w:val="0"/>
        <w:autoSpaceDN w:val="0"/>
        <w:adjustRightInd w:val="0"/>
        <w:snapToGrid w:val="0"/>
        <w:spacing w:before="50" w:line="360" w:lineRule="auto"/>
        <w:ind w:firstLine="420" w:firstLineChars="200"/>
        <w:jc w:val="left"/>
        <w:rPr>
          <w:rFonts w:ascii="Times New Roman" w:hAnsi="Times New Roman" w:eastAsiaTheme="minorEastAsia"/>
          <w:highlight w:val="none"/>
        </w:rPr>
      </w:pPr>
      <w:r>
        <w:rPr>
          <w:rFonts w:ascii="Times New Roman" w:hAnsi="Times New Roman" w:eastAsiaTheme="minorEastAsia"/>
          <w:highlight w:val="none"/>
        </w:rPr>
        <w:t>6.2甲方或者甲方的最终用户应当按照采购合同规定的技术、服务等要求组织对乙方履约的验收，并出具验收书。验收书应当包括每一项技术、服务等要求的履约情况。</w:t>
      </w:r>
    </w:p>
    <w:p>
      <w:pPr>
        <w:autoSpaceDE w:val="0"/>
        <w:autoSpaceDN w:val="0"/>
        <w:adjustRightInd w:val="0"/>
        <w:snapToGrid w:val="0"/>
        <w:spacing w:before="50" w:line="360" w:lineRule="auto"/>
        <w:ind w:firstLine="420" w:firstLineChars="200"/>
        <w:jc w:val="left"/>
        <w:rPr>
          <w:rFonts w:ascii="Times New Roman" w:hAnsi="Times New Roman" w:eastAsiaTheme="minorEastAsia"/>
          <w:highlight w:val="none"/>
        </w:rPr>
      </w:pPr>
      <w:r>
        <w:rPr>
          <w:rFonts w:ascii="Times New Roman" w:hAnsi="Times New Roman" w:eastAsiaTheme="minorEastAsia"/>
          <w:highlight w:val="none"/>
        </w:rPr>
        <w:t>6.3 在验收过程中发现数量不足或有质量、安全、技术等问题，乙方应负责按照甲方的要求采取补足、更换等处理措施，并承担由此发生的一切费用和损失。</w:t>
      </w:r>
    </w:p>
    <w:p>
      <w:pPr>
        <w:autoSpaceDE w:val="0"/>
        <w:autoSpaceDN w:val="0"/>
        <w:adjustRightInd w:val="0"/>
        <w:snapToGrid w:val="0"/>
        <w:spacing w:before="50" w:line="360" w:lineRule="auto"/>
        <w:ind w:firstLine="420" w:firstLineChars="200"/>
        <w:jc w:val="left"/>
        <w:rPr>
          <w:rFonts w:ascii="Times New Roman" w:hAnsi="Times New Roman" w:eastAsiaTheme="minorEastAsia"/>
          <w:highlight w:val="none"/>
        </w:rPr>
      </w:pPr>
      <w:r>
        <w:rPr>
          <w:rFonts w:ascii="Times New Roman" w:hAnsi="Times New Roman" w:eastAsiaTheme="minorEastAsia"/>
          <w:highlight w:val="none"/>
        </w:rPr>
        <w:t>6.4 甲方在乙方按合同规定提交服务或安装、调试后，无正当理由而拖延接收、验收或拒绝接收、验收的，应承担因此给乙方造成的直接损失。</w:t>
      </w:r>
    </w:p>
    <w:p>
      <w:pPr>
        <w:autoSpaceDE w:val="0"/>
        <w:autoSpaceDN w:val="0"/>
        <w:adjustRightInd w:val="0"/>
        <w:snapToGrid w:val="0"/>
        <w:spacing w:before="50" w:line="360" w:lineRule="auto"/>
        <w:ind w:firstLine="420" w:firstLineChars="200"/>
        <w:jc w:val="left"/>
        <w:rPr>
          <w:rFonts w:ascii="Times New Roman" w:hAnsi="Times New Roman" w:eastAsiaTheme="minorEastAsia"/>
          <w:highlight w:val="none"/>
        </w:rPr>
      </w:pPr>
      <w:r>
        <w:rPr>
          <w:rFonts w:ascii="Times New Roman" w:hAnsi="Times New Roman" w:eastAsiaTheme="minorEastAsia"/>
          <w:highlight w:val="none"/>
        </w:rPr>
        <w:t>6.5大型或者复杂的项目，应当邀请国家认可的质量检测机构参加验收，并由其出具验收报告单。</w:t>
      </w:r>
    </w:p>
    <w:p>
      <w:pPr>
        <w:autoSpaceDE w:val="0"/>
        <w:autoSpaceDN w:val="0"/>
        <w:adjustRightInd w:val="0"/>
        <w:snapToGrid w:val="0"/>
        <w:spacing w:before="50" w:line="360" w:lineRule="auto"/>
        <w:ind w:firstLine="420" w:firstLineChars="200"/>
        <w:jc w:val="left"/>
        <w:rPr>
          <w:rFonts w:ascii="Times New Roman" w:hAnsi="Times New Roman" w:eastAsiaTheme="minorEastAsia"/>
          <w:highlight w:val="none"/>
        </w:rPr>
      </w:pPr>
      <w:r>
        <w:rPr>
          <w:rFonts w:ascii="Times New Roman" w:hAnsi="Times New Roman" w:eastAsiaTheme="minorEastAsia"/>
          <w:highlight w:val="none"/>
        </w:rPr>
        <w:t>6.6政府向社会公众提供的公共服务项目，验收时应当邀请服务对象参与并出具意见，验收结果应当向社会公告。</w:t>
      </w:r>
    </w:p>
    <w:p>
      <w:pPr>
        <w:autoSpaceDE w:val="0"/>
        <w:autoSpaceDN w:val="0"/>
        <w:adjustRightInd w:val="0"/>
        <w:snapToGrid w:val="0"/>
        <w:spacing w:before="50" w:line="360" w:lineRule="auto"/>
        <w:ind w:firstLine="420" w:firstLineChars="200"/>
        <w:jc w:val="left"/>
        <w:rPr>
          <w:rFonts w:ascii="Times New Roman" w:hAnsi="Times New Roman" w:eastAsiaTheme="minorEastAsia"/>
          <w:highlight w:val="none"/>
        </w:rPr>
      </w:pPr>
      <w:r>
        <w:rPr>
          <w:rFonts w:ascii="Times New Roman" w:hAnsi="Times New Roman" w:eastAsiaTheme="minorEastAsia"/>
          <w:highlight w:val="none"/>
        </w:rPr>
        <w:t>6.7 乙方提供的进口产品，乙方应出示中华人民共和国进出口商品检验部门出具的检验证书（采购文件第五章采购需求另有约定的除外）。</w:t>
      </w:r>
    </w:p>
    <w:p>
      <w:pPr>
        <w:adjustRightInd w:val="0"/>
        <w:snapToGrid w:val="0"/>
        <w:spacing w:before="50" w:line="360" w:lineRule="auto"/>
        <w:jc w:val="left"/>
        <w:rPr>
          <w:rFonts w:ascii="Times New Roman" w:hAnsi="Times New Roman" w:eastAsiaTheme="minorEastAsia"/>
          <w:b/>
          <w:bCs/>
          <w:sz w:val="24"/>
          <w:highlight w:val="none"/>
        </w:rPr>
      </w:pPr>
      <w:r>
        <w:rPr>
          <w:rFonts w:ascii="Times New Roman" w:hAnsi="Times New Roman" w:eastAsiaTheme="minorEastAsia"/>
          <w:b/>
          <w:bCs/>
          <w:sz w:val="24"/>
          <w:highlight w:val="none"/>
        </w:rPr>
        <w:t>7.货物包装要求</w:t>
      </w:r>
    </w:p>
    <w:p>
      <w:pPr>
        <w:autoSpaceDE w:val="0"/>
        <w:autoSpaceDN w:val="0"/>
        <w:adjustRightInd w:val="0"/>
        <w:snapToGrid w:val="0"/>
        <w:spacing w:before="50" w:line="360" w:lineRule="auto"/>
        <w:ind w:firstLine="420" w:firstLineChars="200"/>
        <w:jc w:val="left"/>
        <w:rPr>
          <w:rFonts w:ascii="Times New Roman" w:hAnsi="Times New Roman" w:eastAsiaTheme="minorEastAsia"/>
          <w:highlight w:val="none"/>
        </w:rPr>
      </w:pPr>
      <w:r>
        <w:rPr>
          <w:rFonts w:ascii="Times New Roman" w:hAnsi="Times New Roman" w:eastAsiaTheme="minorEastAsia"/>
          <w:highlight w:val="none"/>
        </w:rPr>
        <w:t>7.1 乙方所出售的全部货物均应按标准保护措施进行包装，包装应适应于远距离运输、防潮、防震、防锈和防野蛮装卸等要求，以确保货物安全无损地运抵指定现场。由于包装防护措施不妥而引起的损坏、丢失由乙方负责。</w:t>
      </w:r>
    </w:p>
    <w:p>
      <w:pPr>
        <w:autoSpaceDE w:val="0"/>
        <w:autoSpaceDN w:val="0"/>
        <w:adjustRightInd w:val="0"/>
        <w:snapToGrid w:val="0"/>
        <w:spacing w:before="50" w:line="360" w:lineRule="auto"/>
        <w:ind w:firstLine="420" w:firstLineChars="200"/>
        <w:jc w:val="left"/>
        <w:rPr>
          <w:rFonts w:ascii="Times New Roman" w:hAnsi="Times New Roman" w:eastAsiaTheme="minorEastAsia"/>
          <w:highlight w:val="none"/>
        </w:rPr>
      </w:pPr>
      <w:r>
        <w:rPr>
          <w:rFonts w:ascii="Times New Roman" w:hAnsi="Times New Roman" w:eastAsiaTheme="minorEastAsia"/>
          <w:highlight w:val="none"/>
        </w:rPr>
        <w:t>7.2 每一个包装箱内应附一份详细装箱单、质量证书和保修保养证书。</w:t>
      </w:r>
    </w:p>
    <w:p>
      <w:pPr>
        <w:adjustRightInd w:val="0"/>
        <w:snapToGrid w:val="0"/>
        <w:spacing w:before="50" w:line="360" w:lineRule="auto"/>
        <w:jc w:val="left"/>
        <w:rPr>
          <w:rFonts w:ascii="Times New Roman" w:hAnsi="Times New Roman" w:eastAsiaTheme="minorEastAsia"/>
          <w:b/>
          <w:sz w:val="24"/>
          <w:highlight w:val="none"/>
        </w:rPr>
      </w:pPr>
      <w:r>
        <w:rPr>
          <w:rFonts w:ascii="Times New Roman" w:hAnsi="Times New Roman" w:eastAsiaTheme="minorEastAsia"/>
          <w:b/>
          <w:sz w:val="24"/>
          <w:highlight w:val="none"/>
        </w:rPr>
        <w:t>8.运输和保险</w:t>
      </w:r>
    </w:p>
    <w:p>
      <w:pPr>
        <w:adjustRightInd w:val="0"/>
        <w:snapToGrid w:val="0"/>
        <w:spacing w:before="50" w:line="360" w:lineRule="auto"/>
        <w:ind w:firstLine="420" w:firstLineChars="200"/>
        <w:jc w:val="left"/>
        <w:rPr>
          <w:rFonts w:ascii="Times New Roman" w:hAnsi="Times New Roman" w:eastAsiaTheme="minorEastAsia"/>
          <w:highlight w:val="none"/>
        </w:rPr>
      </w:pPr>
      <w:r>
        <w:rPr>
          <w:rFonts w:ascii="Times New Roman" w:hAnsi="Times New Roman" w:eastAsiaTheme="minorEastAsia"/>
          <w:highlight w:val="none"/>
        </w:rPr>
        <w:t>8.1乙方负责办理将货物运抵本合同第5.1条规定的交货地点的一切运输事项，相关费用应包括在合同总价中。</w:t>
      </w:r>
    </w:p>
    <w:p>
      <w:pPr>
        <w:adjustRightInd w:val="0"/>
        <w:snapToGrid w:val="0"/>
        <w:spacing w:before="50" w:line="360" w:lineRule="auto"/>
        <w:ind w:firstLine="420" w:firstLineChars="200"/>
        <w:jc w:val="left"/>
        <w:rPr>
          <w:rFonts w:ascii="Times New Roman" w:hAnsi="Times New Roman" w:eastAsiaTheme="minorEastAsia"/>
          <w:highlight w:val="none"/>
        </w:rPr>
      </w:pPr>
      <w:r>
        <w:rPr>
          <w:rFonts w:ascii="Times New Roman" w:hAnsi="Times New Roman" w:eastAsiaTheme="minorEastAsia"/>
          <w:highlight w:val="none"/>
        </w:rPr>
        <w:t>8.2乙方应向保险公司投保以甲方为受益人的发运合同货物发票金额的110％运输一切险。</w:t>
      </w:r>
    </w:p>
    <w:p>
      <w:pPr>
        <w:adjustRightInd w:val="0"/>
        <w:snapToGrid w:val="0"/>
        <w:spacing w:before="50" w:line="360" w:lineRule="auto"/>
        <w:jc w:val="left"/>
        <w:rPr>
          <w:rFonts w:ascii="Times New Roman" w:hAnsi="Times New Roman" w:eastAsiaTheme="minorEastAsia"/>
          <w:b/>
          <w:sz w:val="24"/>
          <w:highlight w:val="none"/>
        </w:rPr>
      </w:pPr>
      <w:r>
        <w:rPr>
          <w:rFonts w:ascii="Times New Roman" w:hAnsi="Times New Roman" w:eastAsiaTheme="minorEastAsia"/>
          <w:b/>
          <w:sz w:val="24"/>
          <w:highlight w:val="none"/>
        </w:rPr>
        <w:t>9.质量标准和保证</w:t>
      </w:r>
    </w:p>
    <w:p>
      <w:pPr>
        <w:pStyle w:val="11"/>
        <w:adjustRightInd w:val="0"/>
        <w:snapToGrid w:val="0"/>
        <w:spacing w:before="50" w:line="360" w:lineRule="auto"/>
        <w:ind w:firstLine="420" w:firstLineChars="200"/>
        <w:jc w:val="left"/>
        <w:rPr>
          <w:rFonts w:ascii="Times New Roman" w:hAnsi="Times New Roman" w:cs="Times New Roman" w:eastAsiaTheme="minorEastAsia"/>
          <w:b/>
          <w:highlight w:val="none"/>
        </w:rPr>
      </w:pPr>
      <w:r>
        <w:rPr>
          <w:rFonts w:ascii="Times New Roman" w:hAnsi="Times New Roman" w:cs="Times New Roman" w:eastAsiaTheme="minorEastAsia"/>
          <w:highlight w:val="none"/>
        </w:rPr>
        <w:t>9.1 质量标准</w:t>
      </w:r>
    </w:p>
    <w:p>
      <w:pPr>
        <w:autoSpaceDE w:val="0"/>
        <w:autoSpaceDN w:val="0"/>
        <w:adjustRightInd w:val="0"/>
        <w:snapToGrid w:val="0"/>
        <w:spacing w:before="50" w:line="360" w:lineRule="auto"/>
        <w:ind w:firstLine="420" w:firstLineChars="200"/>
        <w:jc w:val="left"/>
        <w:rPr>
          <w:rFonts w:ascii="Times New Roman" w:hAnsi="Times New Roman" w:eastAsiaTheme="minorEastAsia"/>
          <w:highlight w:val="none"/>
        </w:rPr>
      </w:pPr>
      <w:r>
        <w:rPr>
          <w:rFonts w:ascii="Times New Roman" w:hAnsi="Times New Roman" w:eastAsiaTheme="minorEastAsia"/>
          <w:highlight w:val="none"/>
        </w:rPr>
        <w:t>（1）本合同下交付的服务应符合采购文件第四章“技术规格、参数与要求”所述的标准。如果没有提及适用标准，则应符合中华人民共和国有关机构发布的最新版本的标准。</w:t>
      </w:r>
    </w:p>
    <w:p>
      <w:pPr>
        <w:pStyle w:val="11"/>
        <w:adjustRightInd w:val="0"/>
        <w:snapToGrid w:val="0"/>
        <w:spacing w:before="50" w:line="360" w:lineRule="auto"/>
        <w:ind w:firstLine="420" w:firstLineChars="200"/>
        <w:jc w:val="left"/>
        <w:rPr>
          <w:rFonts w:ascii="Times New Roman" w:hAnsi="Times New Roman" w:cs="Times New Roman" w:eastAsiaTheme="minorEastAsia"/>
          <w:highlight w:val="none"/>
        </w:rPr>
      </w:pPr>
      <w:r>
        <w:rPr>
          <w:rFonts w:ascii="Times New Roman" w:hAnsi="Times New Roman" w:cs="Times New Roman" w:eastAsiaTheme="minorEastAsia"/>
          <w:highlight w:val="none"/>
        </w:rPr>
        <w:t>（2）采用中华人民共和国法定计量单位。</w:t>
      </w:r>
    </w:p>
    <w:p>
      <w:pPr>
        <w:autoSpaceDE w:val="0"/>
        <w:autoSpaceDN w:val="0"/>
        <w:adjustRightInd w:val="0"/>
        <w:snapToGrid w:val="0"/>
        <w:spacing w:before="50" w:line="360" w:lineRule="auto"/>
        <w:ind w:firstLine="420" w:firstLineChars="200"/>
        <w:jc w:val="left"/>
        <w:rPr>
          <w:rFonts w:ascii="Times New Roman" w:hAnsi="Times New Roman" w:eastAsiaTheme="minorEastAsia"/>
          <w:highlight w:val="none"/>
        </w:rPr>
      </w:pPr>
      <w:r>
        <w:rPr>
          <w:rFonts w:ascii="Times New Roman" w:hAnsi="Times New Roman" w:eastAsiaTheme="minorEastAsia"/>
          <w:highlight w:val="none"/>
        </w:rPr>
        <w:t>（3）乙方所提供的服务还应符合国家有关安全、环保、卫生等规定。</w:t>
      </w:r>
    </w:p>
    <w:p>
      <w:pPr>
        <w:autoSpaceDE w:val="0"/>
        <w:autoSpaceDN w:val="0"/>
        <w:adjustRightInd w:val="0"/>
        <w:snapToGrid w:val="0"/>
        <w:spacing w:before="50" w:line="360" w:lineRule="auto"/>
        <w:ind w:firstLine="420" w:firstLineChars="200"/>
        <w:jc w:val="left"/>
        <w:rPr>
          <w:rFonts w:ascii="Times New Roman" w:hAnsi="Times New Roman" w:eastAsiaTheme="minorEastAsia"/>
          <w:highlight w:val="none"/>
        </w:rPr>
      </w:pPr>
      <w:r>
        <w:rPr>
          <w:rFonts w:ascii="Times New Roman" w:hAnsi="Times New Roman" w:eastAsiaTheme="minorEastAsia"/>
          <w:highlight w:val="none"/>
        </w:rPr>
        <w:t>9.2 保证</w:t>
      </w:r>
    </w:p>
    <w:p>
      <w:pPr>
        <w:autoSpaceDE w:val="0"/>
        <w:autoSpaceDN w:val="0"/>
        <w:adjustRightInd w:val="0"/>
        <w:snapToGrid w:val="0"/>
        <w:spacing w:before="50" w:line="360" w:lineRule="auto"/>
        <w:ind w:firstLine="420" w:firstLineChars="200"/>
        <w:jc w:val="left"/>
        <w:rPr>
          <w:rFonts w:ascii="Times New Roman" w:hAnsi="Times New Roman" w:eastAsiaTheme="minorEastAsia"/>
          <w:highlight w:val="none"/>
        </w:rPr>
      </w:pPr>
      <w:r>
        <w:rPr>
          <w:rFonts w:ascii="Times New Roman" w:hAnsi="Times New Roman" w:eastAsiaTheme="minorEastAsia"/>
          <w:highlight w:val="none"/>
        </w:rPr>
        <w:t>（1）乙方应保证所供货物是全新的、未使用过的，并完全符合合同规定的质量、规格和性能的要求。乙方应保证其货物在正确安装、正常使用和保养条件下，在其使用寿命期内应具有满意的性能，或者没有因乙方的行为或疏忽而产生的缺陷。在货物最终交付验收后不少于</w:t>
      </w:r>
      <w:r>
        <w:rPr>
          <w:rFonts w:ascii="Times New Roman" w:hAnsi="Times New Roman" w:eastAsiaTheme="minorEastAsia"/>
          <w:b/>
          <w:highlight w:val="none"/>
        </w:rPr>
        <w:t>【政府采购合同专用条款】</w:t>
      </w:r>
      <w:r>
        <w:rPr>
          <w:rFonts w:ascii="Times New Roman" w:hAnsi="Times New Roman" w:eastAsiaTheme="minorEastAsia"/>
          <w:highlight w:val="none"/>
        </w:rPr>
        <w:t>规定或乙方承诺（两者以较长的为准）的质量保证期内，本保证保持有效。</w:t>
      </w:r>
    </w:p>
    <w:p>
      <w:pPr>
        <w:autoSpaceDE w:val="0"/>
        <w:autoSpaceDN w:val="0"/>
        <w:adjustRightInd w:val="0"/>
        <w:snapToGrid w:val="0"/>
        <w:spacing w:before="50" w:line="360" w:lineRule="auto"/>
        <w:ind w:firstLine="420" w:firstLineChars="200"/>
        <w:jc w:val="left"/>
        <w:rPr>
          <w:rFonts w:ascii="Times New Roman" w:hAnsi="Times New Roman" w:eastAsiaTheme="minorEastAsia"/>
          <w:highlight w:val="none"/>
        </w:rPr>
      </w:pPr>
      <w:r>
        <w:rPr>
          <w:rFonts w:ascii="Times New Roman" w:hAnsi="Times New Roman" w:eastAsiaTheme="minorEastAsia"/>
          <w:highlight w:val="none"/>
        </w:rPr>
        <w:t>（2）在质量保证期内所发现的缺陷，甲方应尽快以书面形式通知乙方。</w:t>
      </w:r>
    </w:p>
    <w:p>
      <w:pPr>
        <w:autoSpaceDE w:val="0"/>
        <w:autoSpaceDN w:val="0"/>
        <w:adjustRightInd w:val="0"/>
        <w:snapToGrid w:val="0"/>
        <w:spacing w:before="50" w:line="360" w:lineRule="auto"/>
        <w:ind w:firstLine="420" w:firstLineChars="200"/>
        <w:jc w:val="left"/>
        <w:rPr>
          <w:rFonts w:ascii="Times New Roman" w:hAnsi="Times New Roman" w:eastAsiaTheme="minorEastAsia"/>
          <w:highlight w:val="none"/>
        </w:rPr>
      </w:pPr>
      <w:r>
        <w:rPr>
          <w:rFonts w:ascii="Times New Roman" w:hAnsi="Times New Roman" w:eastAsiaTheme="minorEastAsia"/>
          <w:highlight w:val="none"/>
        </w:rPr>
        <w:t>（3）乙方收到通知后应在</w:t>
      </w:r>
      <w:r>
        <w:rPr>
          <w:rFonts w:ascii="Times New Roman" w:hAnsi="Times New Roman" w:eastAsiaTheme="minorEastAsia"/>
          <w:b/>
          <w:highlight w:val="none"/>
        </w:rPr>
        <w:t>【政府采购合同专用条款】</w:t>
      </w:r>
      <w:r>
        <w:rPr>
          <w:rFonts w:ascii="Times New Roman" w:hAnsi="Times New Roman" w:eastAsiaTheme="minorEastAsia"/>
          <w:highlight w:val="none"/>
        </w:rPr>
        <w:t>规定的响应时间内以合理的速度免费维修或更换有缺陷的货物或部件。</w:t>
      </w:r>
    </w:p>
    <w:p>
      <w:pPr>
        <w:autoSpaceDE w:val="0"/>
        <w:autoSpaceDN w:val="0"/>
        <w:adjustRightInd w:val="0"/>
        <w:snapToGrid w:val="0"/>
        <w:spacing w:before="50" w:line="360" w:lineRule="auto"/>
        <w:ind w:firstLine="420" w:firstLineChars="200"/>
        <w:jc w:val="left"/>
        <w:rPr>
          <w:rFonts w:ascii="Times New Roman" w:hAnsi="Times New Roman" w:eastAsiaTheme="minorEastAsia"/>
          <w:highlight w:val="none"/>
        </w:rPr>
      </w:pPr>
      <w:r>
        <w:rPr>
          <w:rFonts w:ascii="Times New Roman" w:hAnsi="Times New Roman" w:eastAsiaTheme="minorEastAsia"/>
          <w:highlight w:val="none"/>
        </w:rPr>
        <w:t>（4）在质量保证期内，如果货物的质量或规格与合同不符，或证实货物是有缺陷的，包括潜在的缺陷或使用不符合要求的材料等，甲方可以根据本合同第15.1条规定以书面形式向乙方提出补救措施或索赔。</w:t>
      </w:r>
    </w:p>
    <w:p>
      <w:pPr>
        <w:adjustRightInd w:val="0"/>
        <w:snapToGrid w:val="0"/>
        <w:spacing w:before="50" w:line="360" w:lineRule="auto"/>
        <w:ind w:firstLine="420" w:firstLineChars="200"/>
        <w:jc w:val="left"/>
        <w:rPr>
          <w:rFonts w:ascii="Times New Roman" w:hAnsi="Times New Roman" w:eastAsiaTheme="minorEastAsia"/>
          <w:highlight w:val="none"/>
        </w:rPr>
      </w:pPr>
      <w:r>
        <w:rPr>
          <w:rFonts w:ascii="Times New Roman" w:hAnsi="Times New Roman" w:eastAsiaTheme="minorEastAsia"/>
          <w:highlight w:val="none"/>
        </w:rPr>
        <w:t>（5）乙方在约定的时间内未能弥补缺陷，甲方可采取必要的补救措施，但其风险和费用将由乙方承担，甲方根据合同规定对乙方行使的其他权利不受影响。</w:t>
      </w:r>
    </w:p>
    <w:p>
      <w:pPr>
        <w:adjustRightInd w:val="0"/>
        <w:snapToGrid w:val="0"/>
        <w:spacing w:before="50" w:line="360" w:lineRule="auto"/>
        <w:jc w:val="left"/>
        <w:rPr>
          <w:rFonts w:ascii="Times New Roman" w:hAnsi="Times New Roman" w:eastAsiaTheme="minorEastAsia"/>
          <w:b/>
          <w:bCs/>
          <w:sz w:val="24"/>
          <w:highlight w:val="none"/>
        </w:rPr>
      </w:pPr>
      <w:r>
        <w:rPr>
          <w:rFonts w:ascii="Times New Roman" w:hAnsi="Times New Roman" w:eastAsiaTheme="minorEastAsia"/>
          <w:b/>
          <w:bCs/>
          <w:sz w:val="24"/>
          <w:highlight w:val="none"/>
        </w:rPr>
        <w:t>10.权利瑕疵担保</w:t>
      </w:r>
    </w:p>
    <w:p>
      <w:pPr>
        <w:autoSpaceDE w:val="0"/>
        <w:autoSpaceDN w:val="0"/>
        <w:adjustRightInd w:val="0"/>
        <w:snapToGrid w:val="0"/>
        <w:spacing w:before="50" w:line="360" w:lineRule="auto"/>
        <w:ind w:firstLine="420" w:firstLineChars="200"/>
        <w:jc w:val="left"/>
        <w:rPr>
          <w:rFonts w:ascii="Times New Roman" w:hAnsi="Times New Roman" w:eastAsiaTheme="minorEastAsia"/>
          <w:highlight w:val="none"/>
        </w:rPr>
      </w:pPr>
      <w:r>
        <w:rPr>
          <w:rFonts w:ascii="Times New Roman" w:hAnsi="Times New Roman" w:eastAsiaTheme="minorEastAsia"/>
          <w:highlight w:val="none"/>
        </w:rPr>
        <w:t>10.1 乙方保证对其出售的服务享有合法的权利。</w:t>
      </w:r>
    </w:p>
    <w:p>
      <w:pPr>
        <w:autoSpaceDE w:val="0"/>
        <w:autoSpaceDN w:val="0"/>
        <w:adjustRightInd w:val="0"/>
        <w:snapToGrid w:val="0"/>
        <w:spacing w:before="50" w:line="360" w:lineRule="auto"/>
        <w:ind w:firstLine="420" w:firstLineChars="200"/>
        <w:jc w:val="left"/>
        <w:rPr>
          <w:rFonts w:ascii="Times New Roman" w:hAnsi="Times New Roman" w:eastAsiaTheme="minorEastAsia"/>
          <w:highlight w:val="none"/>
        </w:rPr>
      </w:pPr>
      <w:r>
        <w:rPr>
          <w:rFonts w:ascii="Times New Roman" w:hAnsi="Times New Roman" w:eastAsiaTheme="minorEastAsia"/>
          <w:highlight w:val="none"/>
        </w:rPr>
        <w:t>10.2 乙方保证在其出售的服务上不存在任何未曾向甲方透露的担保物权，如抵押权、质押权、留置权等。</w:t>
      </w:r>
    </w:p>
    <w:p>
      <w:pPr>
        <w:autoSpaceDE w:val="0"/>
        <w:autoSpaceDN w:val="0"/>
        <w:adjustRightInd w:val="0"/>
        <w:snapToGrid w:val="0"/>
        <w:spacing w:before="50" w:line="360" w:lineRule="auto"/>
        <w:ind w:firstLine="420" w:firstLineChars="200"/>
        <w:jc w:val="left"/>
        <w:rPr>
          <w:rFonts w:ascii="Times New Roman" w:hAnsi="Times New Roman" w:eastAsiaTheme="minorEastAsia"/>
          <w:highlight w:val="none"/>
        </w:rPr>
      </w:pPr>
      <w:r>
        <w:rPr>
          <w:rFonts w:ascii="Times New Roman" w:hAnsi="Times New Roman" w:eastAsiaTheme="minorEastAsia"/>
          <w:highlight w:val="none"/>
        </w:rPr>
        <w:t>10.3 如甲方使用该服务构成上述侵权的，则由乙方承担全部责任。</w:t>
      </w:r>
    </w:p>
    <w:p>
      <w:pPr>
        <w:autoSpaceDE w:val="0"/>
        <w:autoSpaceDN w:val="0"/>
        <w:adjustRightInd w:val="0"/>
        <w:snapToGrid w:val="0"/>
        <w:spacing w:before="50" w:line="360" w:lineRule="auto"/>
        <w:jc w:val="left"/>
        <w:rPr>
          <w:rFonts w:ascii="Times New Roman" w:hAnsi="Times New Roman" w:eastAsiaTheme="minorEastAsia"/>
          <w:b/>
          <w:bCs/>
          <w:sz w:val="24"/>
          <w:highlight w:val="none"/>
        </w:rPr>
      </w:pPr>
      <w:r>
        <w:rPr>
          <w:rFonts w:ascii="Times New Roman" w:hAnsi="Times New Roman" w:eastAsiaTheme="minorEastAsia"/>
          <w:b/>
          <w:bCs/>
          <w:sz w:val="24"/>
          <w:highlight w:val="none"/>
        </w:rPr>
        <w:t>11.知识产权保护</w:t>
      </w:r>
    </w:p>
    <w:p>
      <w:pPr>
        <w:autoSpaceDE w:val="0"/>
        <w:autoSpaceDN w:val="0"/>
        <w:adjustRightInd w:val="0"/>
        <w:snapToGrid w:val="0"/>
        <w:spacing w:before="50" w:line="360" w:lineRule="auto"/>
        <w:ind w:firstLine="420" w:firstLineChars="200"/>
        <w:jc w:val="left"/>
        <w:rPr>
          <w:rFonts w:ascii="Times New Roman" w:hAnsi="Times New Roman" w:eastAsiaTheme="minorEastAsia"/>
          <w:highlight w:val="none"/>
        </w:rPr>
      </w:pPr>
      <w:r>
        <w:rPr>
          <w:rFonts w:ascii="Times New Roman" w:hAnsi="Times New Roman" w:eastAsiaTheme="minorEastAsia"/>
          <w:highlight w:val="none"/>
        </w:rPr>
        <w:t>11.1 乙方对其所提供的服务应当享有知识产权或经权利人合法授权，保证没有侵犯任何第三人的知识产权和商业秘密等权利。</w:t>
      </w:r>
    </w:p>
    <w:p>
      <w:pPr>
        <w:autoSpaceDE w:val="0"/>
        <w:autoSpaceDN w:val="0"/>
        <w:adjustRightInd w:val="0"/>
        <w:snapToGrid w:val="0"/>
        <w:spacing w:before="50" w:line="360" w:lineRule="auto"/>
        <w:ind w:firstLine="420" w:firstLineChars="200"/>
        <w:jc w:val="left"/>
        <w:rPr>
          <w:rFonts w:ascii="Times New Roman" w:hAnsi="Times New Roman" w:eastAsiaTheme="minorEastAsia"/>
          <w:highlight w:val="none"/>
        </w:rPr>
      </w:pPr>
      <w:r>
        <w:rPr>
          <w:rFonts w:ascii="Times New Roman" w:hAnsi="Times New Roman" w:eastAsiaTheme="minorEastAsia"/>
          <w:highlight w:val="none"/>
        </w:rPr>
        <w:t>11.2 甲方使用乙方提供的服务对第三人构成侵权的，应当由乙方承担全部法律责任，给甲方造成损害的，乙方应当承担赔偿责任。</w:t>
      </w:r>
    </w:p>
    <w:p>
      <w:pPr>
        <w:autoSpaceDE w:val="0"/>
        <w:autoSpaceDN w:val="0"/>
        <w:adjustRightInd w:val="0"/>
        <w:snapToGrid w:val="0"/>
        <w:spacing w:before="50" w:line="360" w:lineRule="auto"/>
        <w:ind w:firstLine="420" w:firstLineChars="200"/>
        <w:jc w:val="left"/>
        <w:rPr>
          <w:rFonts w:ascii="Times New Roman" w:hAnsi="Times New Roman" w:eastAsiaTheme="minorEastAsia"/>
          <w:highlight w:val="none"/>
        </w:rPr>
      </w:pPr>
      <w:r>
        <w:rPr>
          <w:rFonts w:ascii="Times New Roman" w:hAnsi="Times New Roman" w:eastAsiaTheme="minorEastAsia"/>
          <w:highlight w:val="none"/>
        </w:rPr>
        <w:t>11.3 甲方委托乙方开发的产品，甲方享有知识产权，未经甲方许可不得转让任何第三人。</w:t>
      </w:r>
    </w:p>
    <w:p>
      <w:pPr>
        <w:autoSpaceDE w:val="0"/>
        <w:autoSpaceDN w:val="0"/>
        <w:adjustRightInd w:val="0"/>
        <w:snapToGrid w:val="0"/>
        <w:spacing w:before="50" w:line="360" w:lineRule="auto"/>
        <w:jc w:val="left"/>
        <w:rPr>
          <w:rFonts w:ascii="Times New Roman" w:hAnsi="Times New Roman" w:eastAsiaTheme="minorEastAsia"/>
          <w:b/>
          <w:bCs/>
          <w:sz w:val="24"/>
          <w:highlight w:val="none"/>
        </w:rPr>
      </w:pPr>
      <w:r>
        <w:rPr>
          <w:rFonts w:ascii="Times New Roman" w:hAnsi="Times New Roman" w:eastAsiaTheme="minorEastAsia"/>
          <w:b/>
          <w:bCs/>
          <w:sz w:val="24"/>
          <w:highlight w:val="none"/>
        </w:rPr>
        <w:t>12.保密义务</w:t>
      </w:r>
    </w:p>
    <w:p>
      <w:pPr>
        <w:autoSpaceDE w:val="0"/>
        <w:autoSpaceDN w:val="0"/>
        <w:adjustRightInd w:val="0"/>
        <w:snapToGrid w:val="0"/>
        <w:spacing w:before="50" w:line="360" w:lineRule="auto"/>
        <w:ind w:firstLine="420" w:firstLineChars="200"/>
        <w:jc w:val="left"/>
        <w:rPr>
          <w:rFonts w:ascii="Times New Roman" w:hAnsi="Times New Roman" w:eastAsiaTheme="minorEastAsia"/>
          <w:highlight w:val="none"/>
        </w:rPr>
      </w:pPr>
      <w:r>
        <w:rPr>
          <w:rFonts w:ascii="Times New Roman" w:hAnsi="Times New Roman" w:eastAsiaTheme="minorEastAsia"/>
          <w:highlight w:val="none"/>
        </w:rPr>
        <w:t>12.1 甲、乙双方在采购和履行合同过程中所获悉的对方属于保密的内容，双方均有保密义务。</w:t>
      </w:r>
    </w:p>
    <w:p>
      <w:pPr>
        <w:autoSpaceDE w:val="0"/>
        <w:autoSpaceDN w:val="0"/>
        <w:adjustRightInd w:val="0"/>
        <w:snapToGrid w:val="0"/>
        <w:spacing w:before="50" w:line="360" w:lineRule="auto"/>
        <w:jc w:val="left"/>
        <w:rPr>
          <w:rFonts w:ascii="Times New Roman" w:hAnsi="Times New Roman" w:eastAsiaTheme="minorEastAsia"/>
          <w:b/>
          <w:bCs/>
          <w:sz w:val="24"/>
          <w:highlight w:val="none"/>
        </w:rPr>
      </w:pPr>
      <w:r>
        <w:rPr>
          <w:rFonts w:ascii="Times New Roman" w:hAnsi="Times New Roman" w:eastAsiaTheme="minorEastAsia"/>
          <w:b/>
          <w:bCs/>
          <w:sz w:val="24"/>
          <w:highlight w:val="none"/>
        </w:rPr>
        <w:t>13.合同价款支付</w:t>
      </w:r>
    </w:p>
    <w:p>
      <w:pPr>
        <w:adjustRightInd w:val="0"/>
        <w:snapToGrid w:val="0"/>
        <w:spacing w:before="50" w:line="360" w:lineRule="auto"/>
        <w:ind w:firstLine="420" w:firstLineChars="200"/>
        <w:jc w:val="left"/>
        <w:rPr>
          <w:rFonts w:ascii="Times New Roman" w:hAnsi="Times New Roman" w:eastAsiaTheme="minorEastAsia"/>
          <w:highlight w:val="none"/>
        </w:rPr>
      </w:pPr>
      <w:r>
        <w:rPr>
          <w:rFonts w:ascii="Times New Roman" w:hAnsi="Times New Roman" w:eastAsiaTheme="minorEastAsia"/>
          <w:highlight w:val="none"/>
        </w:rPr>
        <w:t>13.1验收合格后，乙方出具正规发票给甲方，凭甲方开具的《政府采购合同验收报告单》办理合同价</w:t>
      </w:r>
      <w:r>
        <w:rPr>
          <w:rFonts w:ascii="Times New Roman" w:hAnsi="Times New Roman" w:eastAsiaTheme="minorEastAsia"/>
          <w:bCs/>
          <w:highlight w:val="none"/>
        </w:rPr>
        <w:t>款</w:t>
      </w:r>
      <w:r>
        <w:rPr>
          <w:rFonts w:ascii="Times New Roman" w:hAnsi="Times New Roman" w:eastAsiaTheme="minorEastAsia"/>
          <w:highlight w:val="none"/>
        </w:rPr>
        <w:t>结算手续。</w:t>
      </w:r>
    </w:p>
    <w:p>
      <w:pPr>
        <w:autoSpaceDE w:val="0"/>
        <w:autoSpaceDN w:val="0"/>
        <w:adjustRightInd w:val="0"/>
        <w:snapToGrid w:val="0"/>
        <w:spacing w:before="50" w:line="360" w:lineRule="auto"/>
        <w:ind w:firstLine="420" w:firstLineChars="200"/>
        <w:jc w:val="left"/>
        <w:rPr>
          <w:rFonts w:ascii="Times New Roman" w:hAnsi="Times New Roman" w:eastAsiaTheme="minorEastAsia"/>
          <w:highlight w:val="none"/>
        </w:rPr>
      </w:pPr>
      <w:r>
        <w:rPr>
          <w:rFonts w:ascii="Times New Roman" w:hAnsi="Times New Roman" w:eastAsiaTheme="minorEastAsia"/>
          <w:highlight w:val="none"/>
        </w:rPr>
        <w:t>13.2 合同价款构成中应当由财政支付的部分，甲方应当在货物验收合格后的十五个工作日内向国库管理部门申请支付，经国库管理部门审核后直接支付给乙方。</w:t>
      </w:r>
    </w:p>
    <w:p>
      <w:pPr>
        <w:adjustRightInd w:val="0"/>
        <w:snapToGrid w:val="0"/>
        <w:spacing w:before="50" w:line="360" w:lineRule="auto"/>
        <w:ind w:firstLine="420" w:firstLineChars="200"/>
        <w:jc w:val="left"/>
        <w:rPr>
          <w:rFonts w:ascii="Times New Roman" w:hAnsi="Times New Roman" w:eastAsiaTheme="minorEastAsia"/>
          <w:highlight w:val="none"/>
        </w:rPr>
      </w:pPr>
      <w:r>
        <w:rPr>
          <w:rFonts w:ascii="Times New Roman" w:hAnsi="Times New Roman" w:eastAsiaTheme="minorEastAsia"/>
          <w:highlight w:val="none"/>
        </w:rPr>
        <w:t>13.3 合同价款构成中应当由甲方自行支付的部分，甲方应当在货物验收合格后十五个工作内支付。</w:t>
      </w:r>
    </w:p>
    <w:p>
      <w:pPr>
        <w:adjustRightInd w:val="0"/>
        <w:snapToGrid w:val="0"/>
        <w:spacing w:before="50" w:line="360" w:lineRule="auto"/>
        <w:ind w:firstLine="420" w:firstLineChars="200"/>
        <w:jc w:val="left"/>
        <w:rPr>
          <w:rFonts w:ascii="Times New Roman" w:hAnsi="Times New Roman" w:eastAsiaTheme="minorEastAsia"/>
          <w:highlight w:val="none"/>
        </w:rPr>
      </w:pPr>
      <w:r>
        <w:rPr>
          <w:rFonts w:ascii="Times New Roman" w:hAnsi="Times New Roman" w:eastAsiaTheme="minorEastAsia"/>
          <w:highlight w:val="none"/>
        </w:rPr>
        <w:t>13.4支付合同价</w:t>
      </w:r>
      <w:r>
        <w:rPr>
          <w:rFonts w:ascii="Times New Roman" w:hAnsi="Times New Roman" w:eastAsiaTheme="minorEastAsia"/>
          <w:bCs/>
          <w:highlight w:val="none"/>
        </w:rPr>
        <w:t>款</w:t>
      </w:r>
      <w:r>
        <w:rPr>
          <w:rFonts w:ascii="Times New Roman" w:hAnsi="Times New Roman" w:eastAsiaTheme="minorEastAsia"/>
          <w:highlight w:val="none"/>
        </w:rPr>
        <w:t>时，一律不向乙方以外的任何第三方办理付款手续。开户行和账号以签订的政府采购合同为准，如果乙方要求变更，则乙方必须提供加盖了财务专用章、法定代表人签字的证明文件，报经甲方审查同意。</w:t>
      </w:r>
    </w:p>
    <w:p>
      <w:pPr>
        <w:autoSpaceDE w:val="0"/>
        <w:autoSpaceDN w:val="0"/>
        <w:adjustRightInd w:val="0"/>
        <w:snapToGrid w:val="0"/>
        <w:spacing w:before="50" w:line="360" w:lineRule="auto"/>
        <w:ind w:firstLine="420" w:firstLineChars="200"/>
        <w:jc w:val="left"/>
        <w:rPr>
          <w:rFonts w:ascii="Times New Roman" w:hAnsi="Times New Roman" w:eastAsiaTheme="minorEastAsia"/>
          <w:highlight w:val="none"/>
        </w:rPr>
      </w:pPr>
      <w:r>
        <w:rPr>
          <w:rFonts w:ascii="Times New Roman" w:hAnsi="Times New Roman" w:eastAsiaTheme="minorEastAsia"/>
          <w:highlight w:val="none"/>
        </w:rPr>
        <w:t>13.5 合同价款支付方式</w:t>
      </w:r>
      <w:r>
        <w:rPr>
          <w:rFonts w:ascii="Times New Roman" w:hAnsi="Times New Roman" w:eastAsiaTheme="minorEastAsia"/>
          <w:bCs/>
          <w:highlight w:val="none"/>
        </w:rPr>
        <w:t>和条件在</w:t>
      </w:r>
      <w:r>
        <w:rPr>
          <w:rFonts w:ascii="Times New Roman" w:hAnsi="Times New Roman" w:eastAsiaTheme="minorEastAsia"/>
          <w:b/>
          <w:highlight w:val="none"/>
        </w:rPr>
        <w:t>【政府采购合同专用条款】</w:t>
      </w:r>
      <w:r>
        <w:rPr>
          <w:rFonts w:ascii="Times New Roman" w:hAnsi="Times New Roman" w:eastAsiaTheme="minorEastAsia"/>
          <w:highlight w:val="none"/>
        </w:rPr>
        <w:t>中另有规定。</w:t>
      </w:r>
    </w:p>
    <w:p>
      <w:pPr>
        <w:autoSpaceDE w:val="0"/>
        <w:autoSpaceDN w:val="0"/>
        <w:adjustRightInd w:val="0"/>
        <w:snapToGrid w:val="0"/>
        <w:spacing w:before="50" w:line="360" w:lineRule="auto"/>
        <w:jc w:val="left"/>
        <w:rPr>
          <w:rFonts w:ascii="Times New Roman" w:hAnsi="Times New Roman" w:eastAsiaTheme="minorEastAsia"/>
          <w:b/>
          <w:sz w:val="24"/>
          <w:highlight w:val="none"/>
        </w:rPr>
      </w:pPr>
      <w:r>
        <w:rPr>
          <w:rFonts w:ascii="Times New Roman" w:hAnsi="Times New Roman" w:eastAsiaTheme="minorEastAsia"/>
          <w:b/>
          <w:bCs/>
          <w:sz w:val="24"/>
          <w:highlight w:val="none"/>
        </w:rPr>
        <w:t>14.</w:t>
      </w:r>
      <w:r>
        <w:rPr>
          <w:rFonts w:ascii="Times New Roman" w:hAnsi="Times New Roman"/>
          <w:b/>
          <w:sz w:val="24"/>
          <w:highlight w:val="none"/>
        </w:rPr>
        <w:t>乙方应提供的</w:t>
      </w:r>
      <w:r>
        <w:rPr>
          <w:rFonts w:ascii="Times New Roman" w:hAnsi="Times New Roman" w:eastAsiaTheme="minorEastAsia"/>
          <w:b/>
          <w:sz w:val="24"/>
          <w:highlight w:val="none"/>
        </w:rPr>
        <w:t>服务</w:t>
      </w:r>
    </w:p>
    <w:p>
      <w:pPr>
        <w:autoSpaceDE w:val="0"/>
        <w:autoSpaceDN w:val="0"/>
        <w:adjustRightInd w:val="0"/>
        <w:snapToGrid w:val="0"/>
        <w:spacing w:before="50" w:line="360" w:lineRule="auto"/>
        <w:ind w:firstLine="420" w:firstLineChars="200"/>
        <w:jc w:val="left"/>
        <w:rPr>
          <w:rFonts w:ascii="Times New Roman" w:hAnsi="Times New Roman" w:eastAsiaTheme="minorEastAsia"/>
          <w:highlight w:val="none"/>
        </w:rPr>
      </w:pPr>
      <w:r>
        <w:rPr>
          <w:rFonts w:ascii="Times New Roman" w:hAnsi="Times New Roman" w:eastAsiaTheme="minorEastAsia"/>
          <w:highlight w:val="none"/>
        </w:rPr>
        <w:t>14.1 乙方应向甲方提交所提供货物的技术文件，包括相应的中文技术文件，如：产品目录、图纸、操作手册、使用说明、维护手册或服务指南。这些文件应包装好随同货物一起发运。</w:t>
      </w:r>
    </w:p>
    <w:p>
      <w:pPr>
        <w:autoSpaceDE w:val="0"/>
        <w:autoSpaceDN w:val="0"/>
        <w:adjustRightInd w:val="0"/>
        <w:snapToGrid w:val="0"/>
        <w:spacing w:before="50" w:line="360" w:lineRule="auto"/>
        <w:ind w:firstLine="420" w:firstLineChars="200"/>
        <w:jc w:val="left"/>
        <w:rPr>
          <w:rFonts w:ascii="Times New Roman" w:hAnsi="Times New Roman" w:eastAsiaTheme="minorEastAsia"/>
          <w:highlight w:val="none"/>
        </w:rPr>
      </w:pPr>
      <w:r>
        <w:rPr>
          <w:rFonts w:ascii="Times New Roman" w:hAnsi="Times New Roman" w:eastAsiaTheme="minorEastAsia"/>
          <w:highlight w:val="none"/>
        </w:rPr>
        <w:t>14.2 乙方还应提供下列服务：</w:t>
      </w:r>
    </w:p>
    <w:p>
      <w:pPr>
        <w:autoSpaceDE w:val="0"/>
        <w:autoSpaceDN w:val="0"/>
        <w:adjustRightInd w:val="0"/>
        <w:snapToGrid w:val="0"/>
        <w:spacing w:before="50" w:line="360" w:lineRule="auto"/>
        <w:ind w:firstLine="420" w:firstLineChars="200"/>
        <w:jc w:val="left"/>
        <w:rPr>
          <w:rFonts w:ascii="Times New Roman" w:hAnsi="Times New Roman" w:eastAsiaTheme="minorEastAsia"/>
          <w:highlight w:val="none"/>
        </w:rPr>
      </w:pPr>
      <w:r>
        <w:rPr>
          <w:rFonts w:ascii="Times New Roman" w:hAnsi="Times New Roman" w:eastAsiaTheme="minorEastAsia"/>
          <w:highlight w:val="none"/>
        </w:rPr>
        <w:t>（1）货物的现场移动、安装、调试、启动监督及技术支持；</w:t>
      </w:r>
    </w:p>
    <w:p>
      <w:pPr>
        <w:autoSpaceDE w:val="0"/>
        <w:autoSpaceDN w:val="0"/>
        <w:adjustRightInd w:val="0"/>
        <w:snapToGrid w:val="0"/>
        <w:spacing w:before="50" w:line="360" w:lineRule="auto"/>
        <w:ind w:firstLine="420" w:firstLineChars="200"/>
        <w:jc w:val="left"/>
        <w:rPr>
          <w:rFonts w:ascii="Times New Roman" w:hAnsi="Times New Roman" w:eastAsiaTheme="minorEastAsia"/>
          <w:highlight w:val="none"/>
        </w:rPr>
      </w:pPr>
      <w:r>
        <w:rPr>
          <w:rFonts w:ascii="Times New Roman" w:hAnsi="Times New Roman" w:eastAsiaTheme="minorEastAsia"/>
          <w:highlight w:val="none"/>
        </w:rPr>
        <w:t>（2）提供货物组装和维修所需的专用工具和辅助材料；</w:t>
      </w:r>
    </w:p>
    <w:p>
      <w:pPr>
        <w:autoSpaceDE w:val="0"/>
        <w:autoSpaceDN w:val="0"/>
        <w:adjustRightInd w:val="0"/>
        <w:snapToGrid w:val="0"/>
        <w:spacing w:before="50" w:line="360" w:lineRule="auto"/>
        <w:ind w:firstLine="420" w:firstLineChars="200"/>
        <w:jc w:val="left"/>
        <w:rPr>
          <w:rFonts w:ascii="Times New Roman" w:hAnsi="Times New Roman" w:eastAsiaTheme="minorEastAsia"/>
          <w:highlight w:val="none"/>
        </w:rPr>
      </w:pPr>
      <w:r>
        <w:rPr>
          <w:rFonts w:ascii="Times New Roman" w:hAnsi="Times New Roman" w:eastAsiaTheme="minorEastAsia"/>
          <w:highlight w:val="none"/>
        </w:rPr>
        <w:t>（3）在合同各方商定的一定期限内对所有的货物实施运行监督、维修，但前提条件是该服务并不能免除乙方在质量保证期内所承担的义务；</w:t>
      </w:r>
    </w:p>
    <w:p>
      <w:pPr>
        <w:autoSpaceDE w:val="0"/>
        <w:autoSpaceDN w:val="0"/>
        <w:adjustRightInd w:val="0"/>
        <w:snapToGrid w:val="0"/>
        <w:spacing w:before="50" w:line="360" w:lineRule="auto"/>
        <w:ind w:firstLine="420" w:firstLineChars="200"/>
        <w:jc w:val="left"/>
        <w:rPr>
          <w:rFonts w:ascii="Times New Roman" w:hAnsi="Times New Roman" w:eastAsiaTheme="minorEastAsia"/>
          <w:highlight w:val="none"/>
        </w:rPr>
      </w:pPr>
      <w:r>
        <w:rPr>
          <w:rFonts w:ascii="Times New Roman" w:hAnsi="Times New Roman" w:eastAsiaTheme="minorEastAsia"/>
          <w:highlight w:val="none"/>
        </w:rPr>
        <w:t>（4）在制造商或项目现场就货物的安装、启动、运营、维护对甲方操作人员进行培训；</w:t>
      </w:r>
    </w:p>
    <w:p>
      <w:pPr>
        <w:autoSpaceDE w:val="0"/>
        <w:autoSpaceDN w:val="0"/>
        <w:adjustRightInd w:val="0"/>
        <w:snapToGrid w:val="0"/>
        <w:spacing w:before="50" w:line="360" w:lineRule="auto"/>
        <w:ind w:firstLine="420" w:firstLineChars="200"/>
        <w:jc w:val="left"/>
        <w:rPr>
          <w:rFonts w:ascii="Times New Roman" w:hAnsi="Times New Roman" w:eastAsiaTheme="minorEastAsia"/>
          <w:highlight w:val="none"/>
        </w:rPr>
      </w:pPr>
      <w:r>
        <w:rPr>
          <w:rFonts w:ascii="Times New Roman" w:hAnsi="Times New Roman" w:eastAsiaTheme="minorEastAsia"/>
          <w:highlight w:val="none"/>
        </w:rPr>
        <w:t>（5）</w:t>
      </w:r>
      <w:r>
        <w:rPr>
          <w:rFonts w:ascii="Times New Roman" w:hAnsi="Times New Roman" w:eastAsiaTheme="minorEastAsia"/>
          <w:b/>
          <w:highlight w:val="none"/>
        </w:rPr>
        <w:t>【政府采购合同专用条款】</w:t>
      </w:r>
      <w:r>
        <w:rPr>
          <w:rFonts w:ascii="Times New Roman" w:hAnsi="Times New Roman" w:eastAsiaTheme="minorEastAsia"/>
          <w:highlight w:val="none"/>
        </w:rPr>
        <w:t>规定由乙方提供的其他服务。</w:t>
      </w:r>
    </w:p>
    <w:p>
      <w:pPr>
        <w:autoSpaceDE w:val="0"/>
        <w:autoSpaceDN w:val="0"/>
        <w:adjustRightInd w:val="0"/>
        <w:snapToGrid w:val="0"/>
        <w:spacing w:before="50" w:line="360" w:lineRule="auto"/>
        <w:ind w:firstLine="420" w:firstLineChars="200"/>
        <w:jc w:val="left"/>
        <w:rPr>
          <w:rFonts w:ascii="Times New Roman" w:hAnsi="Times New Roman" w:eastAsiaTheme="minorEastAsia"/>
          <w:highlight w:val="none"/>
        </w:rPr>
      </w:pPr>
      <w:r>
        <w:rPr>
          <w:rFonts w:ascii="Times New Roman" w:hAnsi="Times New Roman" w:eastAsiaTheme="minorEastAsia"/>
          <w:highlight w:val="none"/>
        </w:rPr>
        <w:t>14.3 乙方提供的服务的费用应包含在合同价款中，甲方不再另行支付。</w:t>
      </w:r>
    </w:p>
    <w:p>
      <w:pPr>
        <w:adjustRightInd w:val="0"/>
        <w:snapToGrid w:val="0"/>
        <w:spacing w:before="50" w:line="360" w:lineRule="auto"/>
        <w:jc w:val="left"/>
        <w:rPr>
          <w:rFonts w:ascii="Times New Roman" w:hAnsi="Times New Roman" w:eastAsiaTheme="minorEastAsia"/>
          <w:b/>
          <w:bCs/>
          <w:sz w:val="24"/>
          <w:highlight w:val="none"/>
        </w:rPr>
      </w:pPr>
      <w:r>
        <w:rPr>
          <w:rFonts w:ascii="Times New Roman" w:hAnsi="Times New Roman" w:eastAsiaTheme="minorEastAsia"/>
          <w:b/>
          <w:bCs/>
          <w:sz w:val="24"/>
          <w:highlight w:val="none"/>
        </w:rPr>
        <w:t>15.违约责任</w:t>
      </w:r>
    </w:p>
    <w:p>
      <w:pPr>
        <w:adjustRightInd w:val="0"/>
        <w:snapToGrid w:val="0"/>
        <w:spacing w:before="50" w:line="360" w:lineRule="auto"/>
        <w:ind w:firstLine="420" w:firstLineChars="200"/>
        <w:jc w:val="left"/>
        <w:rPr>
          <w:rFonts w:ascii="Times New Roman" w:hAnsi="Times New Roman" w:eastAsiaTheme="minorEastAsia"/>
          <w:bCs/>
          <w:highlight w:val="none"/>
        </w:rPr>
      </w:pPr>
      <w:r>
        <w:rPr>
          <w:rFonts w:ascii="Times New Roman" w:hAnsi="Times New Roman" w:eastAsiaTheme="minorEastAsia"/>
          <w:bCs/>
          <w:highlight w:val="none"/>
        </w:rPr>
        <w:t>15.1质量瑕疵的补救措施和索赔</w:t>
      </w:r>
    </w:p>
    <w:p>
      <w:pPr>
        <w:autoSpaceDE w:val="0"/>
        <w:autoSpaceDN w:val="0"/>
        <w:adjustRightInd w:val="0"/>
        <w:snapToGrid w:val="0"/>
        <w:spacing w:before="50" w:line="360" w:lineRule="auto"/>
        <w:ind w:firstLine="420" w:firstLineChars="200"/>
        <w:jc w:val="left"/>
        <w:rPr>
          <w:rFonts w:ascii="Times New Roman" w:hAnsi="Times New Roman" w:eastAsiaTheme="minorEastAsia"/>
          <w:highlight w:val="none"/>
        </w:rPr>
      </w:pPr>
      <w:r>
        <w:rPr>
          <w:rFonts w:ascii="Times New Roman" w:hAnsi="Times New Roman" w:eastAsiaTheme="minorEastAsia"/>
          <w:highlight w:val="none"/>
        </w:rPr>
        <w:t>（1）如果乙方提供的服务或产品不符合质量标准或存在质量缺陷，而甲方在合同条款第9条或合同的其他条款规定的检验、安装、调试、验收和质量保证期内，根据法定质量检测部门出具的检验证书向乙方提出了索赔，乙方应按照甲方同意的下列一种或几种方式结合起来解决索赔事宜：</w:t>
      </w:r>
    </w:p>
    <w:p>
      <w:pPr>
        <w:autoSpaceDE w:val="0"/>
        <w:autoSpaceDN w:val="0"/>
        <w:adjustRightInd w:val="0"/>
        <w:snapToGrid w:val="0"/>
        <w:spacing w:before="50" w:line="360" w:lineRule="auto"/>
        <w:ind w:firstLine="420" w:firstLineChars="200"/>
        <w:jc w:val="left"/>
        <w:rPr>
          <w:rFonts w:ascii="Times New Roman" w:hAnsi="Times New Roman" w:eastAsiaTheme="minorEastAsia"/>
          <w:highlight w:val="none"/>
        </w:rPr>
      </w:pPr>
      <w:r>
        <w:rPr>
          <w:rFonts w:ascii="Times New Roman" w:hAnsi="Times New Roman" w:eastAsiaTheme="minorEastAsia"/>
          <w:highlight w:val="none"/>
        </w:rPr>
        <w:t>①乙方同意退货并将货款退还给甲方，由此发生的一切费用和损失由乙方承担。</w:t>
      </w:r>
    </w:p>
    <w:p>
      <w:pPr>
        <w:autoSpaceDE w:val="0"/>
        <w:autoSpaceDN w:val="0"/>
        <w:adjustRightInd w:val="0"/>
        <w:snapToGrid w:val="0"/>
        <w:spacing w:before="50" w:line="360" w:lineRule="auto"/>
        <w:ind w:firstLine="420" w:firstLineChars="200"/>
        <w:jc w:val="left"/>
        <w:rPr>
          <w:rFonts w:ascii="Times New Roman" w:hAnsi="Times New Roman" w:eastAsiaTheme="minorEastAsia"/>
          <w:highlight w:val="none"/>
        </w:rPr>
      </w:pPr>
      <w:r>
        <w:rPr>
          <w:rFonts w:ascii="Times New Roman" w:hAnsi="Times New Roman" w:eastAsiaTheme="minorEastAsia"/>
          <w:highlight w:val="none"/>
        </w:rPr>
        <w:t>②根据货物的质量状况以及甲方所遭受的损失，经过甲乙双方商定降低货物的价格。</w:t>
      </w:r>
    </w:p>
    <w:p>
      <w:pPr>
        <w:autoSpaceDE w:val="0"/>
        <w:autoSpaceDN w:val="0"/>
        <w:adjustRightInd w:val="0"/>
        <w:snapToGrid w:val="0"/>
        <w:spacing w:before="50" w:line="360" w:lineRule="auto"/>
        <w:ind w:firstLine="420" w:firstLineChars="200"/>
        <w:jc w:val="left"/>
        <w:rPr>
          <w:rFonts w:ascii="Times New Roman" w:hAnsi="Times New Roman" w:eastAsiaTheme="minorEastAsia"/>
          <w:highlight w:val="none"/>
        </w:rPr>
      </w:pPr>
      <w:r>
        <w:rPr>
          <w:rFonts w:ascii="Times New Roman" w:hAnsi="Times New Roman" w:eastAsiaTheme="minorEastAsia"/>
          <w:highlight w:val="none"/>
        </w:rPr>
        <w:t>③乙方应在接到甲方通知后七日内负责采用符合合同规定的规格、质量和性能要求的新零件、部件和设备来更换有缺陷的部分或修补缺陷部分，其费用由乙方负担。同时，乙方应在约定的质量保证期基础上相应延长修补和更换件的质量保证期。</w:t>
      </w:r>
    </w:p>
    <w:p>
      <w:pPr>
        <w:autoSpaceDE w:val="0"/>
        <w:autoSpaceDN w:val="0"/>
        <w:adjustRightInd w:val="0"/>
        <w:snapToGrid w:val="0"/>
        <w:spacing w:before="50" w:line="360" w:lineRule="auto"/>
        <w:ind w:firstLine="420" w:firstLineChars="200"/>
        <w:jc w:val="left"/>
        <w:rPr>
          <w:rFonts w:ascii="Times New Roman" w:hAnsi="Times New Roman" w:eastAsiaTheme="minorEastAsia"/>
          <w:highlight w:val="none"/>
        </w:rPr>
      </w:pPr>
      <w:r>
        <w:rPr>
          <w:rFonts w:ascii="Times New Roman" w:hAnsi="Times New Roman" w:eastAsiaTheme="minorEastAsia"/>
          <w:highlight w:val="none"/>
        </w:rPr>
        <w:t>（2）如果在甲方发出索赔通知后十日内乙方未作答复，上述索赔应视为已被乙方接受。如果乙方未能在甲方发出索赔通知后十日内或甲方同意延长的期限内，按照上述规定的任何一种方法采取补救措施，甲方有权从应付货款中扣除索赔金额或者没收质量保证金，如不足以弥补甲方损失的，甲方有权进一步要求乙方赔偿。</w:t>
      </w:r>
    </w:p>
    <w:p>
      <w:pPr>
        <w:autoSpaceDE w:val="0"/>
        <w:autoSpaceDN w:val="0"/>
        <w:adjustRightInd w:val="0"/>
        <w:snapToGrid w:val="0"/>
        <w:spacing w:before="50" w:line="360" w:lineRule="auto"/>
        <w:ind w:firstLine="420" w:firstLineChars="200"/>
        <w:jc w:val="left"/>
        <w:rPr>
          <w:rFonts w:ascii="Times New Roman" w:hAnsi="Times New Roman" w:eastAsiaTheme="minorEastAsia"/>
          <w:bCs/>
          <w:highlight w:val="none"/>
        </w:rPr>
      </w:pPr>
      <w:r>
        <w:rPr>
          <w:rFonts w:ascii="Times New Roman" w:hAnsi="Times New Roman" w:eastAsiaTheme="minorEastAsia"/>
          <w:bCs/>
          <w:highlight w:val="none"/>
        </w:rPr>
        <w:t>15.2 迟延交付服务的违约责任</w:t>
      </w:r>
    </w:p>
    <w:p>
      <w:pPr>
        <w:autoSpaceDE w:val="0"/>
        <w:autoSpaceDN w:val="0"/>
        <w:adjustRightInd w:val="0"/>
        <w:snapToGrid w:val="0"/>
        <w:spacing w:before="50" w:line="360" w:lineRule="auto"/>
        <w:ind w:firstLine="420" w:firstLineChars="200"/>
        <w:jc w:val="left"/>
        <w:rPr>
          <w:rFonts w:ascii="Times New Roman" w:hAnsi="Times New Roman" w:eastAsiaTheme="minorEastAsia"/>
          <w:highlight w:val="none"/>
        </w:rPr>
      </w:pPr>
      <w:r>
        <w:rPr>
          <w:rFonts w:ascii="Times New Roman" w:hAnsi="Times New Roman" w:eastAsiaTheme="minorEastAsia"/>
          <w:highlight w:val="none"/>
        </w:rPr>
        <w:t>（1）乙方应按照本合同规定的时间、地点交货和提供服务。在履行合同过程中，如果乙方遇到可能妨碍按时交货和提供服务的情形时，应及时以书面形式将迟延的事实、可能迟延的期限和理由通知甲方。甲方在收到乙方通知后，应尽快对情况进行评价，并确定是否同意迟延交货时间或延期提供服务。</w:t>
      </w:r>
    </w:p>
    <w:p>
      <w:pPr>
        <w:autoSpaceDE w:val="0"/>
        <w:autoSpaceDN w:val="0"/>
        <w:adjustRightInd w:val="0"/>
        <w:snapToGrid w:val="0"/>
        <w:spacing w:before="50" w:line="360" w:lineRule="auto"/>
        <w:ind w:firstLine="420" w:firstLineChars="200"/>
        <w:jc w:val="left"/>
        <w:rPr>
          <w:rFonts w:ascii="Times New Roman" w:hAnsi="Times New Roman" w:eastAsiaTheme="minorEastAsia"/>
          <w:highlight w:val="none"/>
        </w:rPr>
      </w:pPr>
      <w:r>
        <w:rPr>
          <w:rFonts w:ascii="Times New Roman" w:hAnsi="Times New Roman" w:eastAsiaTheme="minorEastAsia"/>
          <w:highlight w:val="none"/>
        </w:rPr>
        <w:t>（2）除本合同</w:t>
      </w:r>
      <w:r>
        <w:rPr>
          <w:rFonts w:ascii="Times New Roman" w:hAnsi="Times New Roman" w:eastAsiaTheme="minorEastAsia"/>
          <w:bCs/>
          <w:highlight w:val="none"/>
        </w:rPr>
        <w:t>第20条</w:t>
      </w:r>
      <w:r>
        <w:rPr>
          <w:rFonts w:ascii="Times New Roman" w:hAnsi="Times New Roman" w:eastAsiaTheme="minorEastAsia"/>
          <w:highlight w:val="none"/>
        </w:rPr>
        <w:t>规定情况外，如果乙方没有按照合同规定的时间交货和提供服务，甲方有权从货款中扣除误期赔偿费而不影响合同项下的其他补救方法，赔偿费按每周（一周按七天计算，不足七日按一周计算）赔偿迟交货物的交货价或延期服务的服务费用的百分之零点五（0.5%）计收，直至交货或提供服务为止。但误期赔偿费的最高限额不超过合同价的百分之五（5%）。一旦达到误期赔偿的最高限额，甲方可以终止合同。</w:t>
      </w:r>
    </w:p>
    <w:p>
      <w:pPr>
        <w:autoSpaceDE w:val="0"/>
        <w:autoSpaceDN w:val="0"/>
        <w:adjustRightInd w:val="0"/>
        <w:snapToGrid w:val="0"/>
        <w:spacing w:before="50" w:line="360" w:lineRule="auto"/>
        <w:ind w:firstLine="420" w:firstLineChars="200"/>
        <w:jc w:val="left"/>
        <w:rPr>
          <w:rFonts w:ascii="Times New Roman" w:hAnsi="Times New Roman" w:eastAsiaTheme="minorEastAsia"/>
          <w:highlight w:val="none"/>
        </w:rPr>
      </w:pPr>
      <w:r>
        <w:rPr>
          <w:rFonts w:ascii="Times New Roman" w:hAnsi="Times New Roman" w:eastAsiaTheme="minorEastAsia"/>
          <w:highlight w:val="none"/>
        </w:rPr>
        <w:t>（3）如果乙方迟延交货，甲方有权终止全部或部分合同，并依其认为适当的条件和方法购买与未交货物类似的货物，乙方应对购买类似货物所超出的那部分费用负责。但是，乙方应继续执行合同中未终止的部分。</w:t>
      </w:r>
    </w:p>
    <w:p>
      <w:pPr>
        <w:autoSpaceDE w:val="0"/>
        <w:autoSpaceDN w:val="0"/>
        <w:adjustRightInd w:val="0"/>
        <w:snapToGrid w:val="0"/>
        <w:spacing w:before="50" w:line="360" w:lineRule="auto"/>
        <w:jc w:val="left"/>
        <w:rPr>
          <w:rFonts w:ascii="Times New Roman" w:hAnsi="Times New Roman" w:eastAsiaTheme="minorEastAsia"/>
          <w:b/>
          <w:sz w:val="24"/>
          <w:highlight w:val="none"/>
        </w:rPr>
      </w:pPr>
      <w:r>
        <w:rPr>
          <w:rFonts w:ascii="Times New Roman" w:hAnsi="Times New Roman" w:eastAsiaTheme="minorEastAsia"/>
          <w:b/>
          <w:sz w:val="24"/>
          <w:highlight w:val="none"/>
        </w:rPr>
        <w:t>16.合同的变更</w:t>
      </w:r>
    </w:p>
    <w:p>
      <w:pPr>
        <w:autoSpaceDE w:val="0"/>
        <w:autoSpaceDN w:val="0"/>
        <w:adjustRightInd w:val="0"/>
        <w:snapToGrid w:val="0"/>
        <w:spacing w:before="50" w:line="360" w:lineRule="auto"/>
        <w:ind w:firstLine="420" w:firstLineChars="200"/>
        <w:jc w:val="left"/>
        <w:rPr>
          <w:rFonts w:ascii="Times New Roman" w:hAnsi="Times New Roman" w:eastAsiaTheme="minorEastAsia"/>
          <w:highlight w:val="none"/>
        </w:rPr>
      </w:pPr>
      <w:r>
        <w:rPr>
          <w:rFonts w:ascii="Times New Roman" w:hAnsi="Times New Roman" w:eastAsiaTheme="minorEastAsia"/>
          <w:highlight w:val="none"/>
        </w:rPr>
        <w:t>16.1 在合同履行过程中，甲、乙双方可就合同履行的时间、地点和方式等协商进行变更。协商一致后，双方应签订书面的补充协议。</w:t>
      </w:r>
    </w:p>
    <w:p>
      <w:pPr>
        <w:autoSpaceDE w:val="0"/>
        <w:autoSpaceDN w:val="0"/>
        <w:adjustRightInd w:val="0"/>
        <w:snapToGrid w:val="0"/>
        <w:spacing w:before="50" w:line="360" w:lineRule="auto"/>
        <w:ind w:firstLine="420" w:firstLineChars="200"/>
        <w:jc w:val="left"/>
        <w:rPr>
          <w:rFonts w:ascii="Times New Roman" w:hAnsi="Times New Roman" w:eastAsiaTheme="minorEastAsia"/>
          <w:highlight w:val="none"/>
        </w:rPr>
      </w:pPr>
      <w:r>
        <w:rPr>
          <w:rFonts w:ascii="Times New Roman" w:hAnsi="Times New Roman" w:eastAsiaTheme="minorEastAsia"/>
          <w:highlight w:val="none"/>
        </w:rPr>
        <w:t>16.2 在不改变合同其他条款的前提下，甲方有权在合同价款百分之十的范围内追加与合同标的相同的货物或服务，并就此与乙方签订补充合同，乙方不得拒绝。</w:t>
      </w:r>
    </w:p>
    <w:p>
      <w:pPr>
        <w:autoSpaceDE w:val="0"/>
        <w:autoSpaceDN w:val="0"/>
        <w:adjustRightInd w:val="0"/>
        <w:snapToGrid w:val="0"/>
        <w:spacing w:before="50" w:line="360" w:lineRule="auto"/>
        <w:ind w:firstLine="420" w:firstLineChars="200"/>
        <w:jc w:val="left"/>
        <w:rPr>
          <w:rFonts w:ascii="Times New Roman" w:hAnsi="Times New Roman" w:eastAsiaTheme="minorEastAsia"/>
          <w:highlight w:val="none"/>
        </w:rPr>
      </w:pPr>
      <w:r>
        <w:rPr>
          <w:rFonts w:ascii="Times New Roman" w:hAnsi="Times New Roman" w:eastAsiaTheme="minorEastAsia"/>
          <w:highlight w:val="none"/>
        </w:rPr>
        <w:t>16.3 除双方签署书面协议，并成为合同不可分割的一部分外，本合同条件不得有任何变更。</w:t>
      </w:r>
    </w:p>
    <w:p>
      <w:pPr>
        <w:autoSpaceDE w:val="0"/>
        <w:autoSpaceDN w:val="0"/>
        <w:adjustRightInd w:val="0"/>
        <w:snapToGrid w:val="0"/>
        <w:spacing w:before="50" w:line="360" w:lineRule="auto"/>
        <w:jc w:val="left"/>
        <w:rPr>
          <w:rFonts w:ascii="Times New Roman" w:hAnsi="Times New Roman" w:eastAsiaTheme="minorEastAsia"/>
          <w:b/>
          <w:sz w:val="24"/>
          <w:highlight w:val="none"/>
        </w:rPr>
      </w:pPr>
      <w:r>
        <w:rPr>
          <w:rFonts w:ascii="Times New Roman" w:hAnsi="Times New Roman" w:eastAsiaTheme="minorEastAsia"/>
          <w:b/>
          <w:sz w:val="24"/>
          <w:highlight w:val="none"/>
        </w:rPr>
        <w:t>17.合同中止与终止</w:t>
      </w:r>
    </w:p>
    <w:p>
      <w:pPr>
        <w:adjustRightInd w:val="0"/>
        <w:snapToGrid w:val="0"/>
        <w:spacing w:before="50" w:line="360" w:lineRule="auto"/>
        <w:ind w:firstLine="420" w:firstLineChars="200"/>
        <w:jc w:val="left"/>
        <w:rPr>
          <w:rFonts w:ascii="Times New Roman" w:hAnsi="Times New Roman" w:eastAsiaTheme="minorEastAsia"/>
          <w:highlight w:val="none"/>
        </w:rPr>
      </w:pPr>
      <w:r>
        <w:rPr>
          <w:rFonts w:ascii="Times New Roman" w:hAnsi="Times New Roman" w:eastAsiaTheme="minorEastAsia"/>
          <w:highlight w:val="none"/>
        </w:rPr>
        <w:t>17.1合同的中止</w:t>
      </w:r>
    </w:p>
    <w:p>
      <w:pPr>
        <w:autoSpaceDE w:val="0"/>
        <w:autoSpaceDN w:val="0"/>
        <w:adjustRightInd w:val="0"/>
        <w:snapToGrid w:val="0"/>
        <w:spacing w:before="50" w:line="360" w:lineRule="auto"/>
        <w:ind w:firstLine="420" w:firstLineChars="200"/>
        <w:jc w:val="left"/>
        <w:rPr>
          <w:rFonts w:ascii="Times New Roman" w:hAnsi="Times New Roman" w:eastAsiaTheme="minorEastAsia"/>
          <w:highlight w:val="none"/>
        </w:rPr>
      </w:pPr>
      <w:r>
        <w:rPr>
          <w:rFonts w:ascii="Times New Roman" w:hAnsi="Times New Roman" w:eastAsiaTheme="minorEastAsia"/>
          <w:highlight w:val="none"/>
        </w:rPr>
        <w:t>（1）合同在履行过程中，因采购计划调整，甲方可以要求中止履行，待计划确定后继续履行；</w:t>
      </w:r>
    </w:p>
    <w:p>
      <w:pPr>
        <w:autoSpaceDE w:val="0"/>
        <w:autoSpaceDN w:val="0"/>
        <w:adjustRightInd w:val="0"/>
        <w:snapToGrid w:val="0"/>
        <w:spacing w:before="50" w:line="360" w:lineRule="auto"/>
        <w:ind w:firstLine="420" w:firstLineChars="200"/>
        <w:jc w:val="left"/>
        <w:rPr>
          <w:rFonts w:ascii="Times New Roman" w:hAnsi="Times New Roman" w:eastAsiaTheme="minorEastAsia"/>
          <w:highlight w:val="none"/>
        </w:rPr>
      </w:pPr>
      <w:r>
        <w:rPr>
          <w:rFonts w:ascii="Times New Roman" w:hAnsi="Times New Roman" w:eastAsiaTheme="minorEastAsia"/>
          <w:highlight w:val="none"/>
        </w:rPr>
        <w:t>（2）合同履行过程中因供应商就采购过程或结果提起投诉的，甲方认为有必要或财政部门责令中止的，应当中止合同的履行。</w:t>
      </w:r>
    </w:p>
    <w:p>
      <w:pPr>
        <w:adjustRightInd w:val="0"/>
        <w:snapToGrid w:val="0"/>
        <w:spacing w:before="50" w:line="360" w:lineRule="auto"/>
        <w:ind w:firstLine="420" w:firstLineChars="200"/>
        <w:jc w:val="left"/>
        <w:rPr>
          <w:rFonts w:ascii="Times New Roman" w:hAnsi="Times New Roman" w:eastAsiaTheme="minorEastAsia"/>
          <w:highlight w:val="none"/>
        </w:rPr>
      </w:pPr>
      <w:r>
        <w:rPr>
          <w:rFonts w:ascii="Times New Roman" w:hAnsi="Times New Roman" w:eastAsiaTheme="minorEastAsia"/>
          <w:highlight w:val="none"/>
        </w:rPr>
        <w:t>17.2合同的终止</w:t>
      </w:r>
    </w:p>
    <w:p>
      <w:pPr>
        <w:autoSpaceDE w:val="0"/>
        <w:autoSpaceDN w:val="0"/>
        <w:adjustRightInd w:val="0"/>
        <w:snapToGrid w:val="0"/>
        <w:spacing w:before="50" w:line="360" w:lineRule="auto"/>
        <w:ind w:firstLine="420" w:firstLineChars="200"/>
        <w:jc w:val="left"/>
        <w:rPr>
          <w:rFonts w:ascii="Times New Roman" w:hAnsi="Times New Roman" w:eastAsiaTheme="minorEastAsia"/>
          <w:highlight w:val="none"/>
        </w:rPr>
      </w:pPr>
      <w:r>
        <w:rPr>
          <w:rFonts w:ascii="Times New Roman" w:hAnsi="Times New Roman" w:eastAsiaTheme="minorEastAsia"/>
          <w:highlight w:val="none"/>
        </w:rPr>
        <w:t>（1）合同因有效期限届满而终止；</w:t>
      </w:r>
    </w:p>
    <w:p>
      <w:pPr>
        <w:autoSpaceDE w:val="0"/>
        <w:autoSpaceDN w:val="0"/>
        <w:adjustRightInd w:val="0"/>
        <w:snapToGrid w:val="0"/>
        <w:spacing w:before="50" w:line="360" w:lineRule="auto"/>
        <w:ind w:firstLine="420" w:firstLineChars="200"/>
        <w:jc w:val="left"/>
        <w:rPr>
          <w:rFonts w:ascii="Times New Roman" w:hAnsi="Times New Roman" w:eastAsiaTheme="minorEastAsia"/>
          <w:highlight w:val="none"/>
        </w:rPr>
      </w:pPr>
      <w:r>
        <w:rPr>
          <w:rFonts w:ascii="Times New Roman" w:hAnsi="Times New Roman" w:eastAsiaTheme="minorEastAsia"/>
          <w:highlight w:val="none"/>
        </w:rPr>
        <w:t>（2）乙方未能依照本合同约定条件履行合同，已构成根本性违约的，甲方有权终止本合同，并追究乙方的违约责任。</w:t>
      </w:r>
    </w:p>
    <w:p>
      <w:pPr>
        <w:autoSpaceDE w:val="0"/>
        <w:autoSpaceDN w:val="0"/>
        <w:adjustRightInd w:val="0"/>
        <w:snapToGrid w:val="0"/>
        <w:spacing w:before="50" w:line="360" w:lineRule="auto"/>
        <w:ind w:firstLine="420" w:firstLineChars="200"/>
        <w:jc w:val="left"/>
        <w:rPr>
          <w:rFonts w:ascii="Times New Roman" w:hAnsi="Times New Roman" w:eastAsiaTheme="minorEastAsia"/>
          <w:highlight w:val="none"/>
        </w:rPr>
      </w:pPr>
      <w:r>
        <w:rPr>
          <w:rFonts w:ascii="Times New Roman" w:hAnsi="Times New Roman" w:eastAsiaTheme="minorEastAsia"/>
          <w:highlight w:val="none"/>
        </w:rPr>
        <w:t>（3）如果乙方丧失履约能力或被宣告破产，甲方可在任何时候以书面形式通知乙方终止合同而不给乙方补偿。</w:t>
      </w:r>
    </w:p>
    <w:p>
      <w:pPr>
        <w:autoSpaceDE w:val="0"/>
        <w:autoSpaceDN w:val="0"/>
        <w:adjustRightInd w:val="0"/>
        <w:snapToGrid w:val="0"/>
        <w:spacing w:before="50" w:line="360" w:lineRule="auto"/>
        <w:ind w:firstLine="420" w:firstLineChars="200"/>
        <w:jc w:val="left"/>
        <w:rPr>
          <w:rFonts w:ascii="Times New Roman" w:hAnsi="Times New Roman" w:eastAsiaTheme="minorEastAsia"/>
          <w:highlight w:val="none"/>
        </w:rPr>
      </w:pPr>
      <w:r>
        <w:rPr>
          <w:rFonts w:ascii="Times New Roman" w:hAnsi="Times New Roman" w:eastAsiaTheme="minorEastAsia"/>
          <w:highlight w:val="none"/>
        </w:rPr>
        <w:t>（4）如果乙方在履行合同过程中有不正当竞争行为，甲方有权解除合同，并按《中华人民共和国反不正当竞争法》规定由有关部门追究其法律责任。</w:t>
      </w:r>
    </w:p>
    <w:p>
      <w:pPr>
        <w:autoSpaceDE w:val="0"/>
        <w:autoSpaceDN w:val="0"/>
        <w:adjustRightInd w:val="0"/>
        <w:snapToGrid w:val="0"/>
        <w:spacing w:before="50" w:line="360" w:lineRule="auto"/>
        <w:ind w:firstLine="420" w:firstLineChars="200"/>
        <w:jc w:val="left"/>
        <w:rPr>
          <w:rFonts w:ascii="Times New Roman" w:hAnsi="Times New Roman" w:eastAsiaTheme="minorEastAsia"/>
          <w:highlight w:val="none"/>
        </w:rPr>
      </w:pPr>
      <w:r>
        <w:rPr>
          <w:rFonts w:ascii="Times New Roman" w:hAnsi="Times New Roman" w:eastAsiaTheme="minorEastAsia"/>
          <w:highlight w:val="none"/>
        </w:rPr>
        <w:t>（5）如果合同的履行将损害国家利益或社会公共利益，甲方有权终止合同的履行，给乙方造成损失的予以相应补偿。</w:t>
      </w:r>
    </w:p>
    <w:p>
      <w:pPr>
        <w:autoSpaceDE w:val="0"/>
        <w:autoSpaceDN w:val="0"/>
        <w:adjustRightInd w:val="0"/>
        <w:snapToGrid w:val="0"/>
        <w:spacing w:before="50" w:line="360" w:lineRule="auto"/>
        <w:jc w:val="left"/>
        <w:rPr>
          <w:rFonts w:ascii="Times New Roman" w:hAnsi="Times New Roman" w:eastAsiaTheme="minorEastAsia"/>
          <w:b/>
          <w:bCs/>
          <w:sz w:val="24"/>
          <w:highlight w:val="none"/>
        </w:rPr>
      </w:pPr>
      <w:r>
        <w:rPr>
          <w:rFonts w:ascii="Times New Roman" w:hAnsi="Times New Roman" w:eastAsiaTheme="minorEastAsia"/>
          <w:b/>
          <w:bCs/>
          <w:sz w:val="24"/>
          <w:highlight w:val="none"/>
        </w:rPr>
        <w:t>18.合同转让和分包</w:t>
      </w:r>
    </w:p>
    <w:p>
      <w:pPr>
        <w:autoSpaceDE w:val="0"/>
        <w:autoSpaceDN w:val="0"/>
        <w:adjustRightInd w:val="0"/>
        <w:snapToGrid w:val="0"/>
        <w:spacing w:before="50" w:line="360" w:lineRule="auto"/>
        <w:ind w:firstLine="420" w:firstLineChars="200"/>
        <w:jc w:val="left"/>
        <w:rPr>
          <w:rFonts w:ascii="Times New Roman" w:hAnsi="Times New Roman" w:eastAsiaTheme="minorEastAsia"/>
          <w:highlight w:val="none"/>
        </w:rPr>
      </w:pPr>
      <w:r>
        <w:rPr>
          <w:rFonts w:ascii="Times New Roman" w:hAnsi="Times New Roman" w:eastAsiaTheme="minorEastAsia"/>
          <w:highlight w:val="none"/>
        </w:rPr>
        <w:t>18.1 乙方不得以任何形式将合同转包。</w:t>
      </w:r>
    </w:p>
    <w:p>
      <w:pPr>
        <w:autoSpaceDE w:val="0"/>
        <w:autoSpaceDN w:val="0"/>
        <w:adjustRightInd w:val="0"/>
        <w:snapToGrid w:val="0"/>
        <w:spacing w:before="50" w:line="360" w:lineRule="auto"/>
        <w:ind w:firstLine="420" w:firstLineChars="200"/>
        <w:jc w:val="left"/>
        <w:rPr>
          <w:rFonts w:ascii="Times New Roman" w:hAnsi="Times New Roman" w:eastAsiaTheme="minorEastAsia"/>
          <w:highlight w:val="none"/>
        </w:rPr>
      </w:pPr>
      <w:r>
        <w:rPr>
          <w:rFonts w:ascii="Times New Roman" w:hAnsi="Times New Roman" w:eastAsiaTheme="minorEastAsia"/>
          <w:highlight w:val="none"/>
        </w:rPr>
        <w:t>18.2 乙方未在响应文件中说明，不得将</w:t>
      </w:r>
      <w:r>
        <w:rPr>
          <w:rFonts w:ascii="Times New Roman" w:hAnsi="Times New Roman" w:eastAsiaTheme="minorEastAsia"/>
          <w:bCs/>
          <w:highlight w:val="none"/>
        </w:rPr>
        <w:t>合同</w:t>
      </w:r>
      <w:r>
        <w:rPr>
          <w:rFonts w:ascii="Times New Roman" w:hAnsi="Times New Roman" w:eastAsiaTheme="minorEastAsia"/>
          <w:highlight w:val="none"/>
        </w:rPr>
        <w:t>的非主体、非关键性工作分包给他人。</w:t>
      </w:r>
    </w:p>
    <w:p>
      <w:pPr>
        <w:autoSpaceDE w:val="0"/>
        <w:autoSpaceDN w:val="0"/>
        <w:adjustRightInd w:val="0"/>
        <w:snapToGrid w:val="0"/>
        <w:spacing w:before="50" w:line="360" w:lineRule="auto"/>
        <w:jc w:val="left"/>
        <w:rPr>
          <w:rFonts w:ascii="Times New Roman" w:hAnsi="Times New Roman" w:eastAsiaTheme="minorEastAsia"/>
          <w:b/>
          <w:bCs/>
          <w:sz w:val="24"/>
          <w:highlight w:val="none"/>
        </w:rPr>
      </w:pPr>
      <w:r>
        <w:rPr>
          <w:rFonts w:ascii="Times New Roman" w:hAnsi="Times New Roman" w:eastAsiaTheme="minorEastAsia"/>
          <w:b/>
          <w:bCs/>
          <w:sz w:val="24"/>
          <w:highlight w:val="none"/>
        </w:rPr>
        <w:t>19.不可抗力</w:t>
      </w:r>
    </w:p>
    <w:p>
      <w:pPr>
        <w:autoSpaceDE w:val="0"/>
        <w:autoSpaceDN w:val="0"/>
        <w:adjustRightInd w:val="0"/>
        <w:snapToGrid w:val="0"/>
        <w:spacing w:before="50" w:line="360" w:lineRule="auto"/>
        <w:ind w:firstLine="420" w:firstLineChars="200"/>
        <w:jc w:val="left"/>
        <w:rPr>
          <w:rFonts w:ascii="Times New Roman" w:hAnsi="Times New Roman" w:eastAsiaTheme="minorEastAsia"/>
          <w:highlight w:val="none"/>
        </w:rPr>
      </w:pPr>
      <w:r>
        <w:rPr>
          <w:rFonts w:ascii="Times New Roman" w:hAnsi="Times New Roman" w:eastAsiaTheme="minorEastAsia"/>
          <w:highlight w:val="none"/>
        </w:rPr>
        <w:t>19.1 不可抗力是指合同双方不可预见、不可避免、不可克服的自然灾害和社会事件。</w:t>
      </w:r>
    </w:p>
    <w:p>
      <w:pPr>
        <w:autoSpaceDE w:val="0"/>
        <w:autoSpaceDN w:val="0"/>
        <w:adjustRightInd w:val="0"/>
        <w:snapToGrid w:val="0"/>
        <w:spacing w:before="50" w:line="360" w:lineRule="auto"/>
        <w:ind w:firstLine="420" w:firstLineChars="200"/>
        <w:jc w:val="left"/>
        <w:rPr>
          <w:rFonts w:ascii="Times New Roman" w:hAnsi="Times New Roman" w:eastAsiaTheme="minorEastAsia"/>
          <w:highlight w:val="none"/>
        </w:rPr>
      </w:pPr>
      <w:r>
        <w:rPr>
          <w:rFonts w:ascii="Times New Roman" w:hAnsi="Times New Roman" w:eastAsiaTheme="minorEastAsia"/>
          <w:highlight w:val="none"/>
        </w:rPr>
        <w:t>19.2 任何一方对由于不可抗力造成的部分或全部不能履行合同不承担违约责任。但迟延履行后发生不可抗力的，不能免除责任。</w:t>
      </w:r>
    </w:p>
    <w:p>
      <w:pPr>
        <w:autoSpaceDE w:val="0"/>
        <w:autoSpaceDN w:val="0"/>
        <w:adjustRightInd w:val="0"/>
        <w:snapToGrid w:val="0"/>
        <w:spacing w:before="50" w:line="360" w:lineRule="auto"/>
        <w:ind w:firstLine="420" w:firstLineChars="200"/>
        <w:jc w:val="left"/>
        <w:rPr>
          <w:rFonts w:ascii="Times New Roman" w:hAnsi="Times New Roman" w:eastAsiaTheme="minorEastAsia"/>
          <w:highlight w:val="none"/>
        </w:rPr>
      </w:pPr>
      <w:r>
        <w:rPr>
          <w:rFonts w:ascii="Times New Roman" w:hAnsi="Times New Roman" w:eastAsiaTheme="minorEastAsia"/>
          <w:highlight w:val="none"/>
        </w:rPr>
        <w:t>19.3 遇有不可抗力的一方，应在三日内将事件的情况以书面形式通知另一方，并在事件发生后十日内，向另一方提交合同不能履行或部分不能履行或需要延期履行理由的报告。</w:t>
      </w:r>
    </w:p>
    <w:p>
      <w:pPr>
        <w:autoSpaceDE w:val="0"/>
        <w:autoSpaceDN w:val="0"/>
        <w:adjustRightInd w:val="0"/>
        <w:snapToGrid w:val="0"/>
        <w:spacing w:before="50" w:line="360" w:lineRule="auto"/>
        <w:jc w:val="left"/>
        <w:rPr>
          <w:rFonts w:ascii="Times New Roman" w:hAnsi="Times New Roman" w:eastAsiaTheme="minorEastAsia"/>
          <w:b/>
          <w:bCs/>
          <w:sz w:val="24"/>
          <w:highlight w:val="none"/>
        </w:rPr>
      </w:pPr>
      <w:r>
        <w:rPr>
          <w:rFonts w:ascii="Times New Roman" w:hAnsi="Times New Roman" w:eastAsiaTheme="minorEastAsia"/>
          <w:b/>
          <w:bCs/>
          <w:sz w:val="24"/>
          <w:highlight w:val="none"/>
        </w:rPr>
        <w:t>20.解决争议的方法</w:t>
      </w:r>
    </w:p>
    <w:p>
      <w:pPr>
        <w:autoSpaceDE w:val="0"/>
        <w:autoSpaceDN w:val="0"/>
        <w:adjustRightInd w:val="0"/>
        <w:snapToGrid w:val="0"/>
        <w:spacing w:before="50" w:line="360" w:lineRule="auto"/>
        <w:ind w:firstLine="420" w:firstLineChars="200"/>
        <w:jc w:val="left"/>
        <w:rPr>
          <w:rFonts w:ascii="Times New Roman" w:hAnsi="Times New Roman" w:eastAsiaTheme="minorEastAsia"/>
          <w:highlight w:val="none"/>
        </w:rPr>
      </w:pPr>
      <w:r>
        <w:rPr>
          <w:rFonts w:ascii="Times New Roman" w:hAnsi="Times New Roman" w:eastAsiaTheme="minorEastAsia"/>
          <w:highlight w:val="none"/>
        </w:rPr>
        <w:t>20.1 合同各方应通过友好协商，解决在执行合同过程中所发生的或与合同有关的一切争端。如从协商开始后十日内仍不能解决，可以向财政部门提请调解。</w:t>
      </w:r>
    </w:p>
    <w:p>
      <w:pPr>
        <w:autoSpaceDE w:val="0"/>
        <w:autoSpaceDN w:val="0"/>
        <w:adjustRightInd w:val="0"/>
        <w:snapToGrid w:val="0"/>
        <w:spacing w:before="50" w:line="360" w:lineRule="auto"/>
        <w:ind w:firstLine="420" w:firstLineChars="200"/>
        <w:jc w:val="left"/>
        <w:rPr>
          <w:rFonts w:ascii="Times New Roman" w:hAnsi="Times New Roman" w:eastAsiaTheme="minorEastAsia"/>
          <w:highlight w:val="none"/>
        </w:rPr>
      </w:pPr>
      <w:r>
        <w:rPr>
          <w:rFonts w:ascii="Times New Roman" w:hAnsi="Times New Roman" w:eastAsiaTheme="minorEastAsia"/>
          <w:highlight w:val="none"/>
        </w:rPr>
        <w:t>20.2 调解不成可以按</w:t>
      </w:r>
      <w:r>
        <w:rPr>
          <w:rFonts w:ascii="Times New Roman" w:hAnsi="Times New Roman" w:eastAsiaTheme="minorEastAsia"/>
          <w:b/>
          <w:highlight w:val="none"/>
        </w:rPr>
        <w:t>【政府采购合同专用条款】</w:t>
      </w:r>
      <w:r>
        <w:rPr>
          <w:rFonts w:ascii="Times New Roman" w:hAnsi="Times New Roman" w:eastAsiaTheme="minorEastAsia"/>
          <w:highlight w:val="none"/>
        </w:rPr>
        <w:t>中约定中规定下列方式之一提起仲裁或诉讼：</w:t>
      </w:r>
    </w:p>
    <w:p>
      <w:pPr>
        <w:autoSpaceDE w:val="0"/>
        <w:autoSpaceDN w:val="0"/>
        <w:adjustRightInd w:val="0"/>
        <w:snapToGrid w:val="0"/>
        <w:spacing w:before="50" w:line="360" w:lineRule="auto"/>
        <w:ind w:firstLine="420" w:firstLineChars="200"/>
        <w:jc w:val="left"/>
        <w:rPr>
          <w:rFonts w:ascii="Times New Roman" w:hAnsi="Times New Roman" w:eastAsiaTheme="minorEastAsia"/>
          <w:highlight w:val="none"/>
        </w:rPr>
      </w:pPr>
      <w:r>
        <w:rPr>
          <w:rFonts w:ascii="Times New Roman" w:hAnsi="Times New Roman" w:eastAsiaTheme="minorEastAsia"/>
          <w:highlight w:val="none"/>
        </w:rPr>
        <w:t>（1）向甲方所在地仲裁机构提起仲裁；</w:t>
      </w:r>
    </w:p>
    <w:p>
      <w:pPr>
        <w:autoSpaceDE w:val="0"/>
        <w:autoSpaceDN w:val="0"/>
        <w:adjustRightInd w:val="0"/>
        <w:snapToGrid w:val="0"/>
        <w:spacing w:before="50" w:line="360" w:lineRule="auto"/>
        <w:ind w:firstLine="420" w:firstLineChars="200"/>
        <w:jc w:val="left"/>
        <w:rPr>
          <w:rFonts w:ascii="Times New Roman" w:hAnsi="Times New Roman" w:eastAsiaTheme="minorEastAsia"/>
          <w:highlight w:val="none"/>
        </w:rPr>
      </w:pPr>
      <w:r>
        <w:rPr>
          <w:rFonts w:ascii="Times New Roman" w:hAnsi="Times New Roman" w:eastAsiaTheme="minorEastAsia"/>
          <w:highlight w:val="none"/>
        </w:rPr>
        <w:t>（2）向甲方所在地人民法院提起诉讼。</w:t>
      </w:r>
    </w:p>
    <w:p>
      <w:pPr>
        <w:autoSpaceDE w:val="0"/>
        <w:autoSpaceDN w:val="0"/>
        <w:adjustRightInd w:val="0"/>
        <w:snapToGrid w:val="0"/>
        <w:spacing w:before="50" w:line="360" w:lineRule="auto"/>
        <w:ind w:firstLine="420" w:firstLineChars="200"/>
        <w:jc w:val="left"/>
        <w:rPr>
          <w:rFonts w:ascii="Times New Roman" w:hAnsi="Times New Roman" w:eastAsiaTheme="minorEastAsia"/>
          <w:highlight w:val="none"/>
        </w:rPr>
      </w:pPr>
      <w:r>
        <w:rPr>
          <w:rFonts w:ascii="Times New Roman" w:hAnsi="Times New Roman" w:eastAsiaTheme="minorEastAsia"/>
          <w:highlight w:val="none"/>
        </w:rPr>
        <w:t>20.3 如仲裁或诉讼事项不影响合同其它部分的履行，则在仲裁或诉讼期间，除正在进行仲裁或诉讼的部分外，合同的其它部分应继续执行。</w:t>
      </w:r>
    </w:p>
    <w:p>
      <w:pPr>
        <w:autoSpaceDE w:val="0"/>
        <w:autoSpaceDN w:val="0"/>
        <w:adjustRightInd w:val="0"/>
        <w:snapToGrid w:val="0"/>
        <w:spacing w:before="50" w:line="360" w:lineRule="auto"/>
        <w:jc w:val="left"/>
        <w:rPr>
          <w:rFonts w:ascii="Times New Roman" w:hAnsi="Times New Roman" w:eastAsiaTheme="minorEastAsia"/>
          <w:b/>
          <w:sz w:val="24"/>
          <w:highlight w:val="none"/>
        </w:rPr>
      </w:pPr>
      <w:r>
        <w:rPr>
          <w:rFonts w:ascii="Times New Roman" w:hAnsi="Times New Roman" w:eastAsiaTheme="minorEastAsia"/>
          <w:b/>
          <w:sz w:val="24"/>
          <w:highlight w:val="none"/>
        </w:rPr>
        <w:t>21.法律适用</w:t>
      </w:r>
    </w:p>
    <w:p>
      <w:pPr>
        <w:autoSpaceDE w:val="0"/>
        <w:autoSpaceDN w:val="0"/>
        <w:adjustRightInd w:val="0"/>
        <w:snapToGrid w:val="0"/>
        <w:spacing w:before="50" w:line="360" w:lineRule="auto"/>
        <w:ind w:firstLine="420" w:firstLineChars="200"/>
        <w:jc w:val="left"/>
        <w:rPr>
          <w:rFonts w:ascii="Times New Roman" w:hAnsi="Times New Roman" w:eastAsiaTheme="minorEastAsia"/>
          <w:highlight w:val="none"/>
        </w:rPr>
      </w:pPr>
      <w:r>
        <w:rPr>
          <w:rFonts w:ascii="Times New Roman" w:hAnsi="Times New Roman" w:eastAsiaTheme="minorEastAsia"/>
          <w:highlight w:val="none"/>
        </w:rPr>
        <w:t>21.1 本合同适用中华人民共和国现行法律、行政法规和规章，如合同条款与法律、行政法规和规章不一致的，按照法律、行政法规和规章修改本合同。</w:t>
      </w:r>
    </w:p>
    <w:p>
      <w:pPr>
        <w:autoSpaceDE w:val="0"/>
        <w:autoSpaceDN w:val="0"/>
        <w:adjustRightInd w:val="0"/>
        <w:snapToGrid w:val="0"/>
        <w:spacing w:before="50" w:line="360" w:lineRule="auto"/>
        <w:jc w:val="left"/>
        <w:rPr>
          <w:rFonts w:ascii="Times New Roman" w:hAnsi="Times New Roman" w:eastAsiaTheme="minorEastAsia"/>
          <w:b/>
          <w:sz w:val="24"/>
          <w:highlight w:val="none"/>
        </w:rPr>
      </w:pPr>
      <w:r>
        <w:rPr>
          <w:rFonts w:ascii="Times New Roman" w:hAnsi="Times New Roman" w:eastAsiaTheme="minorEastAsia"/>
          <w:b/>
          <w:bCs/>
          <w:sz w:val="24"/>
          <w:highlight w:val="none"/>
        </w:rPr>
        <w:t>22.</w:t>
      </w:r>
      <w:r>
        <w:rPr>
          <w:rFonts w:ascii="Times New Roman" w:hAnsi="Times New Roman" w:eastAsiaTheme="minorEastAsia"/>
          <w:b/>
          <w:sz w:val="24"/>
          <w:highlight w:val="none"/>
        </w:rPr>
        <w:t>通知</w:t>
      </w:r>
    </w:p>
    <w:p>
      <w:pPr>
        <w:adjustRightInd w:val="0"/>
        <w:snapToGrid w:val="0"/>
        <w:spacing w:before="50" w:line="360" w:lineRule="auto"/>
        <w:ind w:firstLine="420" w:firstLineChars="200"/>
        <w:jc w:val="left"/>
        <w:rPr>
          <w:rFonts w:ascii="Times New Roman" w:hAnsi="Times New Roman" w:eastAsiaTheme="minorEastAsia"/>
          <w:highlight w:val="none"/>
        </w:rPr>
      </w:pPr>
      <w:r>
        <w:rPr>
          <w:rFonts w:ascii="Times New Roman" w:hAnsi="Times New Roman" w:eastAsiaTheme="minorEastAsia"/>
          <w:highlight w:val="none"/>
        </w:rPr>
        <w:t>22.1本合同一方给另一方的通知均应采用书面形式，传真或快递送到本合同中规定的对方的地址和办理签收手续，</w:t>
      </w:r>
    </w:p>
    <w:p>
      <w:pPr>
        <w:adjustRightInd w:val="0"/>
        <w:snapToGrid w:val="0"/>
        <w:spacing w:before="50" w:line="360" w:lineRule="auto"/>
        <w:ind w:firstLine="420" w:firstLineChars="200"/>
        <w:jc w:val="left"/>
        <w:rPr>
          <w:rFonts w:ascii="Times New Roman" w:hAnsi="Times New Roman" w:eastAsiaTheme="minorEastAsia"/>
          <w:highlight w:val="none"/>
        </w:rPr>
      </w:pPr>
      <w:r>
        <w:rPr>
          <w:rFonts w:ascii="Times New Roman" w:hAnsi="Times New Roman" w:eastAsiaTheme="minorEastAsia"/>
          <w:highlight w:val="none"/>
        </w:rPr>
        <w:t>22.2通知以送到之日或通知书中规定的生效之日起生效，两者中以较迟之日为准。</w:t>
      </w:r>
    </w:p>
    <w:p>
      <w:pPr>
        <w:adjustRightInd w:val="0"/>
        <w:snapToGrid w:val="0"/>
        <w:spacing w:before="50" w:line="360" w:lineRule="auto"/>
        <w:jc w:val="left"/>
        <w:rPr>
          <w:rFonts w:ascii="Times New Roman" w:hAnsi="Times New Roman" w:eastAsiaTheme="minorEastAsia"/>
          <w:b/>
          <w:bCs/>
          <w:sz w:val="24"/>
          <w:highlight w:val="none"/>
        </w:rPr>
      </w:pPr>
      <w:r>
        <w:rPr>
          <w:rFonts w:ascii="Times New Roman" w:hAnsi="Times New Roman" w:eastAsiaTheme="minorEastAsia"/>
          <w:b/>
          <w:bCs/>
          <w:sz w:val="24"/>
          <w:highlight w:val="none"/>
        </w:rPr>
        <w:t>23. 合同未尽事项</w:t>
      </w:r>
    </w:p>
    <w:p>
      <w:pPr>
        <w:adjustRightInd w:val="0"/>
        <w:snapToGrid w:val="0"/>
        <w:spacing w:before="50" w:line="360" w:lineRule="auto"/>
        <w:ind w:firstLine="420" w:firstLineChars="200"/>
        <w:jc w:val="left"/>
        <w:rPr>
          <w:rFonts w:ascii="Times New Roman" w:hAnsi="Times New Roman" w:eastAsiaTheme="minorEastAsia"/>
          <w:bCs/>
          <w:highlight w:val="none"/>
        </w:rPr>
      </w:pPr>
      <w:r>
        <w:rPr>
          <w:rFonts w:ascii="Times New Roman" w:hAnsi="Times New Roman" w:eastAsiaTheme="minorEastAsia"/>
          <w:bCs/>
          <w:highlight w:val="none"/>
        </w:rPr>
        <w:t>23.1合同未尽事项见</w:t>
      </w:r>
      <w:r>
        <w:rPr>
          <w:rFonts w:ascii="Times New Roman" w:hAnsi="Times New Roman" w:eastAsiaTheme="minorEastAsia"/>
          <w:b/>
          <w:highlight w:val="none"/>
        </w:rPr>
        <w:t>【政府采购合同专用条款】。</w:t>
      </w:r>
    </w:p>
    <w:p>
      <w:pPr>
        <w:adjustRightInd w:val="0"/>
        <w:snapToGrid w:val="0"/>
        <w:spacing w:before="50" w:line="360" w:lineRule="auto"/>
        <w:jc w:val="left"/>
        <w:rPr>
          <w:rFonts w:ascii="Times New Roman" w:hAnsi="Times New Roman" w:eastAsiaTheme="minorEastAsia"/>
          <w:b/>
          <w:bCs/>
          <w:sz w:val="24"/>
          <w:highlight w:val="none"/>
        </w:rPr>
      </w:pPr>
      <w:r>
        <w:rPr>
          <w:rFonts w:ascii="Times New Roman" w:hAnsi="Times New Roman" w:eastAsiaTheme="minorEastAsia"/>
          <w:b/>
          <w:bCs/>
          <w:sz w:val="24"/>
          <w:highlight w:val="none"/>
        </w:rPr>
        <w:t>24.合同生效</w:t>
      </w:r>
    </w:p>
    <w:p>
      <w:pPr>
        <w:rPr>
          <w:rFonts w:ascii="Times New Roman" w:hAnsi="Times New Roman"/>
          <w:highlight w:val="none"/>
        </w:rPr>
      </w:pPr>
      <w:bookmarkStart w:id="7" w:name="_Toc18579"/>
      <w:r>
        <w:rPr>
          <w:rFonts w:ascii="Times New Roman" w:hAnsi="Times New Roman"/>
          <w:highlight w:val="none"/>
        </w:rPr>
        <w:t>24.1 本合同在合同双方签字盖章后生效。</w:t>
      </w:r>
      <w:bookmarkEnd w:id="7"/>
    </w:p>
    <w:p>
      <w:pPr>
        <w:adjustRightInd w:val="0"/>
        <w:snapToGrid w:val="0"/>
        <w:spacing w:line="360" w:lineRule="auto"/>
        <w:jc w:val="center"/>
        <w:rPr>
          <w:rFonts w:ascii="Times New Roman" w:hAnsi="Times New Roman" w:eastAsia="黑体"/>
          <w:b/>
          <w:bCs/>
          <w:sz w:val="28"/>
          <w:szCs w:val="28"/>
          <w:highlight w:val="none"/>
        </w:rPr>
      </w:pPr>
    </w:p>
    <w:p>
      <w:pPr>
        <w:adjustRightInd w:val="0"/>
        <w:snapToGrid w:val="0"/>
        <w:spacing w:line="360" w:lineRule="auto"/>
        <w:jc w:val="center"/>
        <w:rPr>
          <w:rFonts w:ascii="Times New Roman" w:hAnsi="Times New Roman" w:eastAsia="黑体"/>
          <w:b/>
          <w:bCs/>
          <w:sz w:val="28"/>
          <w:szCs w:val="28"/>
          <w:highlight w:val="none"/>
        </w:rPr>
      </w:pPr>
    </w:p>
    <w:p>
      <w:pPr>
        <w:adjustRightInd w:val="0"/>
        <w:snapToGrid w:val="0"/>
        <w:spacing w:line="360" w:lineRule="auto"/>
        <w:jc w:val="center"/>
        <w:rPr>
          <w:rFonts w:ascii="Times New Roman" w:hAnsi="Times New Roman" w:eastAsia="黑体"/>
          <w:b/>
          <w:bCs/>
          <w:sz w:val="28"/>
          <w:szCs w:val="28"/>
          <w:highlight w:val="none"/>
        </w:rPr>
      </w:pPr>
    </w:p>
    <w:p>
      <w:pPr>
        <w:pStyle w:val="2"/>
        <w:rPr>
          <w:rFonts w:ascii="Times New Roman" w:hAnsi="Times New Roman" w:eastAsia="黑体"/>
          <w:b/>
          <w:bCs/>
          <w:sz w:val="28"/>
          <w:szCs w:val="28"/>
          <w:highlight w:val="none"/>
        </w:rPr>
      </w:pPr>
    </w:p>
    <w:p>
      <w:pPr>
        <w:rPr>
          <w:highlight w:val="none"/>
        </w:rPr>
      </w:pPr>
    </w:p>
    <w:p>
      <w:pPr>
        <w:adjustRightInd w:val="0"/>
        <w:snapToGrid w:val="0"/>
        <w:spacing w:line="360" w:lineRule="auto"/>
        <w:rPr>
          <w:rFonts w:ascii="Times New Roman" w:hAnsi="Times New Roman" w:eastAsia="黑体"/>
          <w:b/>
          <w:bCs/>
          <w:sz w:val="28"/>
          <w:szCs w:val="28"/>
          <w:highlight w:val="none"/>
        </w:rPr>
      </w:pPr>
    </w:p>
    <w:p>
      <w:pPr>
        <w:pStyle w:val="8"/>
        <w:jc w:val="center"/>
        <w:rPr>
          <w:rFonts w:ascii="Times New Roman" w:hAnsi="Times New Roman"/>
          <w:highlight w:val="none"/>
        </w:rPr>
      </w:pPr>
      <w:bookmarkStart w:id="8" w:name="_Toc87259953"/>
      <w:r>
        <w:rPr>
          <w:rFonts w:ascii="Times New Roman" w:hAnsi="Times New Roman"/>
          <w:highlight w:val="none"/>
        </w:rPr>
        <w:t>3、政府采购合同专用条款</w:t>
      </w:r>
      <w:bookmarkEnd w:id="8"/>
    </w:p>
    <w:tbl>
      <w:tblPr>
        <w:tblStyle w:val="19"/>
        <w:tblW w:w="9008" w:type="dxa"/>
        <w:tblInd w:w="108"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701"/>
        <w:gridCol w:w="1843"/>
        <w:gridCol w:w="5464"/>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1701" w:type="dxa"/>
            <w:vAlign w:val="center"/>
          </w:tcPr>
          <w:p>
            <w:pPr>
              <w:adjustRightInd w:val="0"/>
              <w:snapToGrid w:val="0"/>
              <w:spacing w:line="360" w:lineRule="auto"/>
              <w:jc w:val="center"/>
              <w:rPr>
                <w:rFonts w:ascii="Times New Roman" w:hAnsi="Times New Roman"/>
                <w:highlight w:val="none"/>
              </w:rPr>
            </w:pPr>
            <w:r>
              <w:rPr>
                <w:rFonts w:ascii="Times New Roman" w:hAnsi="Times New Roman"/>
                <w:highlight w:val="none"/>
              </w:rPr>
              <w:t>本章第二节</w:t>
            </w:r>
          </w:p>
          <w:p>
            <w:pPr>
              <w:adjustRightInd w:val="0"/>
              <w:snapToGrid w:val="0"/>
              <w:spacing w:line="360" w:lineRule="auto"/>
              <w:jc w:val="center"/>
              <w:rPr>
                <w:rFonts w:ascii="Times New Roman" w:hAnsi="Times New Roman"/>
                <w:highlight w:val="none"/>
              </w:rPr>
            </w:pPr>
            <w:r>
              <w:rPr>
                <w:rFonts w:ascii="Times New Roman" w:hAnsi="Times New Roman"/>
                <w:highlight w:val="none"/>
              </w:rPr>
              <w:t>第1.1款</w:t>
            </w:r>
          </w:p>
        </w:tc>
        <w:tc>
          <w:tcPr>
            <w:tcW w:w="1843" w:type="dxa"/>
            <w:vAlign w:val="center"/>
          </w:tcPr>
          <w:p>
            <w:pPr>
              <w:adjustRightInd w:val="0"/>
              <w:snapToGrid w:val="0"/>
              <w:spacing w:line="360" w:lineRule="auto"/>
              <w:jc w:val="left"/>
              <w:rPr>
                <w:rFonts w:ascii="Times New Roman" w:hAnsi="Times New Roman"/>
                <w:highlight w:val="none"/>
              </w:rPr>
            </w:pPr>
            <w:r>
              <w:rPr>
                <w:rFonts w:ascii="Times New Roman" w:hAnsi="Times New Roman"/>
                <w:highlight w:val="none"/>
              </w:rPr>
              <w:t xml:space="preserve">甲方名称、地址 </w:t>
            </w:r>
          </w:p>
        </w:tc>
        <w:tc>
          <w:tcPr>
            <w:tcW w:w="5464" w:type="dxa"/>
            <w:vAlign w:val="center"/>
          </w:tcPr>
          <w:p>
            <w:pPr>
              <w:adjustRightInd w:val="0"/>
              <w:snapToGrid w:val="0"/>
              <w:spacing w:line="360" w:lineRule="auto"/>
              <w:jc w:val="left"/>
              <w:rPr>
                <w:rFonts w:ascii="Times New Roman" w:hAnsi="Times New Roman"/>
                <w:highlight w:val="none"/>
                <w:u w:val="single"/>
              </w:rPr>
            </w:pPr>
            <w:r>
              <w:rPr>
                <w:rFonts w:ascii="Times New Roman" w:hAnsi="Times New Roman"/>
                <w:highlight w:val="none"/>
              </w:rPr>
              <w:t xml:space="preserve">名称： </w:t>
            </w:r>
            <w:r>
              <w:rPr>
                <w:rFonts w:hint="eastAsia" w:ascii="Times New Roman" w:hAnsi="Times New Roman"/>
                <w:highlight w:val="none"/>
              </w:rPr>
              <w:t>湖南省地震局</w:t>
            </w:r>
          </w:p>
          <w:p>
            <w:pPr>
              <w:adjustRightInd w:val="0"/>
              <w:snapToGrid w:val="0"/>
              <w:spacing w:line="360" w:lineRule="auto"/>
              <w:rPr>
                <w:rFonts w:ascii="Times New Roman" w:hAnsi="Times New Roman"/>
                <w:highlight w:val="none"/>
              </w:rPr>
            </w:pPr>
            <w:r>
              <w:rPr>
                <w:rFonts w:ascii="Times New Roman" w:hAnsi="Times New Roman"/>
                <w:highlight w:val="none"/>
              </w:rPr>
              <w:t>地址：</w:t>
            </w:r>
            <w:r>
              <w:rPr>
                <w:rFonts w:hint="eastAsia" w:ascii="宋体" w:hAnsi="宋体"/>
                <w:highlight w:val="none"/>
              </w:rPr>
              <w:t>长沙市雨花区中意一路326号湖南省地震局</w:t>
            </w:r>
            <w:r>
              <w:rPr>
                <w:rFonts w:ascii="Times New Roman" w:hAnsi="Times New Roman"/>
                <w:highlight w:val="none"/>
              </w:rPr>
              <w:t xml:space="preserve"> </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1701" w:type="dxa"/>
            <w:vAlign w:val="center"/>
          </w:tcPr>
          <w:p>
            <w:pPr>
              <w:adjustRightInd w:val="0"/>
              <w:snapToGrid w:val="0"/>
              <w:spacing w:line="360" w:lineRule="auto"/>
              <w:jc w:val="center"/>
              <w:rPr>
                <w:rFonts w:ascii="Times New Roman" w:hAnsi="Times New Roman"/>
                <w:highlight w:val="none"/>
              </w:rPr>
            </w:pPr>
            <w:r>
              <w:rPr>
                <w:rFonts w:ascii="Times New Roman" w:hAnsi="Times New Roman"/>
                <w:highlight w:val="none"/>
              </w:rPr>
              <w:t>本章第二节</w:t>
            </w:r>
          </w:p>
          <w:p>
            <w:pPr>
              <w:adjustRightInd w:val="0"/>
              <w:snapToGrid w:val="0"/>
              <w:spacing w:line="360" w:lineRule="auto"/>
              <w:jc w:val="center"/>
              <w:rPr>
                <w:rFonts w:ascii="Times New Roman" w:hAnsi="Times New Roman"/>
                <w:highlight w:val="none"/>
              </w:rPr>
            </w:pPr>
            <w:r>
              <w:rPr>
                <w:rFonts w:ascii="Times New Roman" w:hAnsi="Times New Roman"/>
                <w:highlight w:val="none"/>
              </w:rPr>
              <w:t>第1.2（6）项</w:t>
            </w:r>
          </w:p>
        </w:tc>
        <w:tc>
          <w:tcPr>
            <w:tcW w:w="1843" w:type="dxa"/>
            <w:vAlign w:val="center"/>
          </w:tcPr>
          <w:p>
            <w:pPr>
              <w:adjustRightInd w:val="0"/>
              <w:snapToGrid w:val="0"/>
              <w:spacing w:line="360" w:lineRule="auto"/>
              <w:jc w:val="left"/>
              <w:rPr>
                <w:rFonts w:ascii="Times New Roman" w:hAnsi="Times New Roman"/>
                <w:highlight w:val="none"/>
              </w:rPr>
            </w:pPr>
            <w:r>
              <w:rPr>
                <w:rFonts w:ascii="Times New Roman" w:hAnsi="Times New Roman"/>
                <w:highlight w:val="none"/>
              </w:rPr>
              <w:t>项目现场</w:t>
            </w:r>
          </w:p>
        </w:tc>
        <w:tc>
          <w:tcPr>
            <w:tcW w:w="5464" w:type="dxa"/>
            <w:vAlign w:val="center"/>
          </w:tcPr>
          <w:p>
            <w:pPr>
              <w:adjustRightInd w:val="0"/>
              <w:snapToGrid w:val="0"/>
              <w:spacing w:line="360" w:lineRule="auto"/>
              <w:jc w:val="left"/>
              <w:rPr>
                <w:rFonts w:ascii="Times New Roman" w:hAnsi="Times New Roman"/>
                <w:highlight w:val="none"/>
                <w:u w:val="single"/>
              </w:rPr>
            </w:pPr>
            <w:r>
              <w:rPr>
                <w:rFonts w:ascii="Times New Roman" w:hAnsi="Times New Roman"/>
                <w:highlight w:val="none"/>
              </w:rPr>
              <w:t>甲方指定地点</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1701" w:type="dxa"/>
            <w:vAlign w:val="center"/>
          </w:tcPr>
          <w:p>
            <w:pPr>
              <w:adjustRightInd w:val="0"/>
              <w:snapToGrid w:val="0"/>
              <w:spacing w:line="360" w:lineRule="auto"/>
              <w:jc w:val="center"/>
              <w:rPr>
                <w:rFonts w:ascii="Times New Roman" w:hAnsi="Times New Roman"/>
                <w:highlight w:val="none"/>
              </w:rPr>
            </w:pPr>
            <w:r>
              <w:rPr>
                <w:rFonts w:ascii="Times New Roman" w:hAnsi="Times New Roman"/>
                <w:highlight w:val="none"/>
              </w:rPr>
              <w:t>本章第二节</w:t>
            </w:r>
          </w:p>
          <w:p>
            <w:pPr>
              <w:adjustRightInd w:val="0"/>
              <w:snapToGrid w:val="0"/>
              <w:spacing w:line="360" w:lineRule="auto"/>
              <w:jc w:val="center"/>
              <w:rPr>
                <w:rFonts w:ascii="Times New Roman" w:hAnsi="Times New Roman"/>
                <w:highlight w:val="none"/>
              </w:rPr>
            </w:pPr>
            <w:r>
              <w:rPr>
                <w:rFonts w:ascii="Times New Roman" w:hAnsi="Times New Roman"/>
                <w:highlight w:val="none"/>
              </w:rPr>
              <w:t>第5.1款</w:t>
            </w:r>
          </w:p>
        </w:tc>
        <w:tc>
          <w:tcPr>
            <w:tcW w:w="1843" w:type="dxa"/>
            <w:vAlign w:val="center"/>
          </w:tcPr>
          <w:p>
            <w:pPr>
              <w:adjustRightInd w:val="0"/>
              <w:snapToGrid w:val="0"/>
              <w:spacing w:line="360" w:lineRule="auto"/>
              <w:jc w:val="left"/>
              <w:rPr>
                <w:rFonts w:ascii="Times New Roman" w:hAnsi="Times New Roman"/>
                <w:highlight w:val="none"/>
              </w:rPr>
            </w:pPr>
            <w:r>
              <w:rPr>
                <w:rFonts w:ascii="Times New Roman" w:hAnsi="Times New Roman"/>
                <w:highlight w:val="none"/>
              </w:rPr>
              <w:t>履行合同的时间、地点及方式</w:t>
            </w:r>
          </w:p>
        </w:tc>
        <w:tc>
          <w:tcPr>
            <w:tcW w:w="5464" w:type="dxa"/>
            <w:vAlign w:val="center"/>
          </w:tcPr>
          <w:p>
            <w:pPr>
              <w:adjustRightInd w:val="0"/>
              <w:snapToGrid w:val="0"/>
              <w:spacing w:line="360" w:lineRule="auto"/>
              <w:jc w:val="left"/>
              <w:rPr>
                <w:rFonts w:ascii="Times New Roman" w:hAnsi="Times New Roman"/>
                <w:highlight w:val="none"/>
              </w:rPr>
            </w:pPr>
            <w:r>
              <w:rPr>
                <w:rFonts w:ascii="Times New Roman" w:hAnsi="Times New Roman"/>
                <w:highlight w:val="none"/>
              </w:rPr>
              <w:t>服务期限：合同中约定</w:t>
            </w:r>
          </w:p>
          <w:p>
            <w:pPr>
              <w:adjustRightInd w:val="0"/>
              <w:snapToGrid w:val="0"/>
              <w:spacing w:line="360" w:lineRule="auto"/>
              <w:jc w:val="left"/>
              <w:rPr>
                <w:rFonts w:ascii="Times New Roman" w:hAnsi="Times New Roman"/>
                <w:highlight w:val="none"/>
              </w:rPr>
            </w:pPr>
            <w:r>
              <w:rPr>
                <w:rFonts w:ascii="Times New Roman" w:hAnsi="Times New Roman"/>
                <w:highlight w:val="none"/>
              </w:rPr>
              <w:t>服务地点：甲方指定地点</w:t>
            </w:r>
          </w:p>
          <w:p>
            <w:pPr>
              <w:adjustRightInd w:val="0"/>
              <w:snapToGrid w:val="0"/>
              <w:spacing w:line="360" w:lineRule="auto"/>
              <w:jc w:val="left"/>
              <w:rPr>
                <w:rFonts w:ascii="Times New Roman" w:hAnsi="Times New Roman"/>
                <w:highlight w:val="none"/>
              </w:rPr>
            </w:pPr>
            <w:r>
              <w:rPr>
                <w:rFonts w:ascii="Times New Roman" w:hAnsi="Times New Roman"/>
                <w:highlight w:val="none"/>
              </w:rPr>
              <w:t>服务交付方式：合同中约定</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1701" w:type="dxa"/>
            <w:vAlign w:val="center"/>
          </w:tcPr>
          <w:p>
            <w:pPr>
              <w:adjustRightInd w:val="0"/>
              <w:snapToGrid w:val="0"/>
              <w:spacing w:line="360" w:lineRule="auto"/>
              <w:jc w:val="center"/>
              <w:rPr>
                <w:rFonts w:ascii="Times New Roman" w:hAnsi="Times New Roman"/>
                <w:highlight w:val="none"/>
              </w:rPr>
            </w:pPr>
            <w:r>
              <w:rPr>
                <w:rFonts w:ascii="Times New Roman" w:hAnsi="Times New Roman"/>
                <w:highlight w:val="none"/>
              </w:rPr>
              <w:t>本章第二节</w:t>
            </w:r>
          </w:p>
          <w:p>
            <w:pPr>
              <w:adjustRightInd w:val="0"/>
              <w:snapToGrid w:val="0"/>
              <w:spacing w:line="360" w:lineRule="auto"/>
              <w:jc w:val="center"/>
              <w:rPr>
                <w:rFonts w:ascii="Times New Roman" w:hAnsi="Times New Roman"/>
                <w:highlight w:val="none"/>
              </w:rPr>
            </w:pPr>
            <w:r>
              <w:rPr>
                <w:rFonts w:ascii="Times New Roman" w:hAnsi="Times New Roman"/>
                <w:highlight w:val="none"/>
              </w:rPr>
              <w:t>第9.2（1）项</w:t>
            </w:r>
          </w:p>
        </w:tc>
        <w:tc>
          <w:tcPr>
            <w:tcW w:w="1843" w:type="dxa"/>
            <w:vAlign w:val="center"/>
          </w:tcPr>
          <w:p>
            <w:pPr>
              <w:adjustRightInd w:val="0"/>
              <w:snapToGrid w:val="0"/>
              <w:spacing w:line="360" w:lineRule="auto"/>
              <w:jc w:val="left"/>
              <w:rPr>
                <w:rFonts w:ascii="Times New Roman" w:hAnsi="Times New Roman"/>
                <w:highlight w:val="none"/>
              </w:rPr>
            </w:pPr>
            <w:r>
              <w:rPr>
                <w:rFonts w:ascii="Times New Roman" w:hAnsi="Times New Roman"/>
                <w:highlight w:val="none"/>
              </w:rPr>
              <w:t>售后服务期</w:t>
            </w:r>
          </w:p>
        </w:tc>
        <w:tc>
          <w:tcPr>
            <w:tcW w:w="5464" w:type="dxa"/>
            <w:vAlign w:val="center"/>
          </w:tcPr>
          <w:p>
            <w:pPr>
              <w:autoSpaceDE w:val="0"/>
              <w:autoSpaceDN w:val="0"/>
              <w:adjustRightInd w:val="0"/>
              <w:snapToGrid w:val="0"/>
              <w:spacing w:line="360" w:lineRule="auto"/>
              <w:jc w:val="left"/>
              <w:rPr>
                <w:rFonts w:ascii="Times New Roman" w:hAnsi="Times New Roman"/>
                <w:highlight w:val="none"/>
                <w:u w:val="single"/>
              </w:rPr>
            </w:pPr>
            <w:r>
              <w:rPr>
                <w:rFonts w:ascii="Times New Roman" w:hAnsi="Times New Roman"/>
                <w:highlight w:val="none"/>
              </w:rPr>
              <w:t>合同中约定</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1701" w:type="dxa"/>
            <w:vAlign w:val="center"/>
          </w:tcPr>
          <w:p>
            <w:pPr>
              <w:adjustRightInd w:val="0"/>
              <w:snapToGrid w:val="0"/>
              <w:spacing w:line="360" w:lineRule="auto"/>
              <w:jc w:val="center"/>
              <w:rPr>
                <w:rFonts w:ascii="Times New Roman" w:hAnsi="Times New Roman"/>
                <w:highlight w:val="none"/>
              </w:rPr>
            </w:pPr>
            <w:r>
              <w:rPr>
                <w:rFonts w:ascii="Times New Roman" w:hAnsi="Times New Roman"/>
                <w:highlight w:val="none"/>
              </w:rPr>
              <w:t>本章第二节</w:t>
            </w:r>
          </w:p>
          <w:p>
            <w:pPr>
              <w:adjustRightInd w:val="0"/>
              <w:snapToGrid w:val="0"/>
              <w:spacing w:line="360" w:lineRule="auto"/>
              <w:jc w:val="center"/>
              <w:rPr>
                <w:rFonts w:ascii="Times New Roman" w:hAnsi="Times New Roman"/>
                <w:highlight w:val="none"/>
              </w:rPr>
            </w:pPr>
            <w:r>
              <w:rPr>
                <w:rFonts w:ascii="Times New Roman" w:hAnsi="Times New Roman"/>
                <w:highlight w:val="none"/>
              </w:rPr>
              <w:t>第9.2（3）项</w:t>
            </w:r>
          </w:p>
        </w:tc>
        <w:tc>
          <w:tcPr>
            <w:tcW w:w="1843" w:type="dxa"/>
            <w:vAlign w:val="center"/>
          </w:tcPr>
          <w:p>
            <w:pPr>
              <w:adjustRightInd w:val="0"/>
              <w:snapToGrid w:val="0"/>
              <w:spacing w:line="360" w:lineRule="auto"/>
              <w:jc w:val="left"/>
              <w:rPr>
                <w:rFonts w:ascii="Times New Roman" w:hAnsi="Times New Roman"/>
                <w:highlight w:val="none"/>
              </w:rPr>
            </w:pPr>
            <w:r>
              <w:rPr>
                <w:rFonts w:ascii="Times New Roman" w:hAnsi="Times New Roman"/>
                <w:highlight w:val="none"/>
              </w:rPr>
              <w:t>响应时间</w:t>
            </w:r>
          </w:p>
        </w:tc>
        <w:tc>
          <w:tcPr>
            <w:tcW w:w="5464" w:type="dxa"/>
            <w:vAlign w:val="center"/>
          </w:tcPr>
          <w:p>
            <w:pPr>
              <w:adjustRightInd w:val="0"/>
              <w:snapToGrid w:val="0"/>
              <w:spacing w:line="360" w:lineRule="auto"/>
              <w:jc w:val="left"/>
              <w:rPr>
                <w:rFonts w:ascii="Times New Roman" w:hAnsi="Times New Roman"/>
                <w:highlight w:val="none"/>
                <w:u w:val="single"/>
              </w:rPr>
            </w:pPr>
            <w:r>
              <w:rPr>
                <w:rFonts w:ascii="Times New Roman" w:hAnsi="Times New Roman"/>
                <w:highlight w:val="none"/>
              </w:rPr>
              <w:t>合同中约定</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1701" w:type="dxa"/>
            <w:vAlign w:val="center"/>
          </w:tcPr>
          <w:p>
            <w:pPr>
              <w:adjustRightInd w:val="0"/>
              <w:snapToGrid w:val="0"/>
              <w:spacing w:line="360" w:lineRule="auto"/>
              <w:jc w:val="center"/>
              <w:rPr>
                <w:rFonts w:ascii="Times New Roman" w:hAnsi="Times New Roman"/>
                <w:highlight w:val="none"/>
              </w:rPr>
            </w:pPr>
            <w:r>
              <w:rPr>
                <w:rFonts w:ascii="Times New Roman" w:hAnsi="Times New Roman"/>
                <w:highlight w:val="none"/>
              </w:rPr>
              <w:t>本章第二节</w:t>
            </w:r>
          </w:p>
          <w:p>
            <w:pPr>
              <w:adjustRightInd w:val="0"/>
              <w:snapToGrid w:val="0"/>
              <w:spacing w:line="360" w:lineRule="auto"/>
              <w:jc w:val="center"/>
              <w:rPr>
                <w:rFonts w:ascii="Times New Roman" w:hAnsi="Times New Roman"/>
                <w:highlight w:val="none"/>
              </w:rPr>
            </w:pPr>
            <w:r>
              <w:rPr>
                <w:rFonts w:ascii="Times New Roman" w:hAnsi="Times New Roman"/>
                <w:highlight w:val="none"/>
              </w:rPr>
              <w:t>第13.5款</w:t>
            </w:r>
          </w:p>
        </w:tc>
        <w:tc>
          <w:tcPr>
            <w:tcW w:w="1843" w:type="dxa"/>
            <w:vAlign w:val="center"/>
          </w:tcPr>
          <w:p>
            <w:pPr>
              <w:adjustRightInd w:val="0"/>
              <w:snapToGrid w:val="0"/>
              <w:spacing w:line="360" w:lineRule="auto"/>
              <w:jc w:val="left"/>
              <w:rPr>
                <w:rFonts w:ascii="Times New Roman" w:hAnsi="Times New Roman"/>
                <w:highlight w:val="none"/>
              </w:rPr>
            </w:pPr>
            <w:r>
              <w:rPr>
                <w:rFonts w:ascii="Times New Roman" w:hAnsi="Times New Roman"/>
                <w:highlight w:val="none"/>
              </w:rPr>
              <w:t>合同价款支付方式</w:t>
            </w:r>
            <w:r>
              <w:rPr>
                <w:rFonts w:ascii="Times New Roman" w:hAnsi="Times New Roman"/>
                <w:bCs/>
                <w:highlight w:val="none"/>
              </w:rPr>
              <w:t>和条件</w:t>
            </w:r>
          </w:p>
        </w:tc>
        <w:tc>
          <w:tcPr>
            <w:tcW w:w="5464" w:type="dxa"/>
            <w:vAlign w:val="center"/>
          </w:tcPr>
          <w:p>
            <w:pPr>
              <w:autoSpaceDE w:val="0"/>
              <w:autoSpaceDN w:val="0"/>
              <w:adjustRightInd w:val="0"/>
              <w:snapToGrid w:val="0"/>
              <w:spacing w:before="50" w:line="360" w:lineRule="auto"/>
              <w:ind w:firstLine="420" w:firstLineChars="200"/>
              <w:jc w:val="left"/>
              <w:rPr>
                <w:rFonts w:ascii="Times New Roman" w:hAnsi="Times New Roman"/>
                <w:highlight w:val="none"/>
              </w:rPr>
            </w:pPr>
            <w:r>
              <w:rPr>
                <w:rFonts w:ascii="Times New Roman" w:hAnsi="Times New Roman"/>
                <w:highlight w:val="none"/>
              </w:rPr>
              <w:t>支付方式：</w:t>
            </w:r>
          </w:p>
          <w:p>
            <w:pPr>
              <w:autoSpaceDE w:val="0"/>
              <w:autoSpaceDN w:val="0"/>
              <w:adjustRightInd w:val="0"/>
              <w:snapToGrid w:val="0"/>
              <w:spacing w:before="50" w:line="360" w:lineRule="auto"/>
              <w:ind w:firstLine="420" w:firstLineChars="200"/>
              <w:jc w:val="left"/>
              <w:rPr>
                <w:rFonts w:hint="default" w:ascii="Times New Roman" w:hAnsi="Times New Roman" w:eastAsiaTheme="minorEastAsia"/>
                <w:highlight w:val="none"/>
                <w:lang w:val="en-US" w:eastAsia="zh-CN"/>
              </w:rPr>
            </w:pPr>
            <w:r>
              <w:rPr>
                <w:rFonts w:hint="eastAsia" w:ascii="Times New Roman" w:hAnsi="Times New Roman" w:eastAsiaTheme="minorEastAsia"/>
                <w:highlight w:val="none"/>
                <w:lang w:val="en-US" w:eastAsia="zh-CN"/>
              </w:rPr>
              <w:t>1.项目通过甲方初步验收审查后，支付合同金额40%的合同款。项目最终验收审查通过后，支付合同金额55%合同款。剩余5%合同款在最终验收通过一年后支付。</w:t>
            </w:r>
          </w:p>
          <w:p>
            <w:pPr>
              <w:autoSpaceDE w:val="0"/>
              <w:autoSpaceDN w:val="0"/>
              <w:adjustRightInd w:val="0"/>
              <w:snapToGrid w:val="0"/>
              <w:spacing w:before="50" w:line="360" w:lineRule="auto"/>
              <w:ind w:firstLine="420" w:firstLineChars="200"/>
              <w:jc w:val="left"/>
              <w:rPr>
                <w:rFonts w:ascii="Times New Roman" w:hAnsi="Times New Roman"/>
                <w:highlight w:val="none"/>
              </w:rPr>
            </w:pPr>
            <w:r>
              <w:rPr>
                <w:rFonts w:hint="eastAsia" w:ascii="Times New Roman" w:hAnsi="Times New Roman" w:eastAsiaTheme="minorEastAsia"/>
                <w:highlight w:val="none"/>
                <w:lang w:val="en-US" w:eastAsia="zh-CN"/>
              </w:rPr>
              <w:t>2.支付前乙方应向甲方提供正式发票。</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1701" w:type="dxa"/>
            <w:vAlign w:val="center"/>
          </w:tcPr>
          <w:p>
            <w:pPr>
              <w:adjustRightInd w:val="0"/>
              <w:snapToGrid w:val="0"/>
              <w:spacing w:line="360" w:lineRule="auto"/>
              <w:jc w:val="center"/>
              <w:rPr>
                <w:rFonts w:ascii="Times New Roman" w:hAnsi="Times New Roman"/>
                <w:highlight w:val="none"/>
              </w:rPr>
            </w:pPr>
            <w:r>
              <w:rPr>
                <w:rFonts w:ascii="Times New Roman" w:hAnsi="Times New Roman"/>
                <w:highlight w:val="none"/>
              </w:rPr>
              <w:t>本章第二节</w:t>
            </w:r>
          </w:p>
          <w:p>
            <w:pPr>
              <w:adjustRightInd w:val="0"/>
              <w:snapToGrid w:val="0"/>
              <w:spacing w:line="360" w:lineRule="auto"/>
              <w:jc w:val="center"/>
              <w:rPr>
                <w:rFonts w:ascii="Times New Roman" w:hAnsi="Times New Roman"/>
                <w:highlight w:val="none"/>
              </w:rPr>
            </w:pPr>
            <w:r>
              <w:rPr>
                <w:rFonts w:ascii="Times New Roman" w:hAnsi="Times New Roman"/>
                <w:highlight w:val="none"/>
              </w:rPr>
              <w:t>第14.2（6）项</w:t>
            </w:r>
          </w:p>
        </w:tc>
        <w:tc>
          <w:tcPr>
            <w:tcW w:w="1843" w:type="dxa"/>
            <w:vAlign w:val="center"/>
          </w:tcPr>
          <w:p>
            <w:pPr>
              <w:adjustRightInd w:val="0"/>
              <w:snapToGrid w:val="0"/>
              <w:spacing w:line="360" w:lineRule="auto"/>
              <w:jc w:val="left"/>
              <w:rPr>
                <w:rFonts w:ascii="Times New Roman" w:hAnsi="Times New Roman"/>
                <w:highlight w:val="none"/>
              </w:rPr>
            </w:pPr>
            <w:r>
              <w:rPr>
                <w:rFonts w:ascii="Times New Roman" w:hAnsi="Times New Roman"/>
                <w:highlight w:val="none"/>
              </w:rPr>
              <w:t>乙方提供的其他服务</w:t>
            </w:r>
          </w:p>
        </w:tc>
        <w:tc>
          <w:tcPr>
            <w:tcW w:w="5464" w:type="dxa"/>
            <w:vAlign w:val="center"/>
          </w:tcPr>
          <w:p>
            <w:pPr>
              <w:adjustRightInd w:val="0"/>
              <w:snapToGrid w:val="0"/>
              <w:spacing w:line="360" w:lineRule="auto"/>
              <w:jc w:val="left"/>
              <w:rPr>
                <w:rFonts w:ascii="Times New Roman" w:hAnsi="Times New Roman"/>
                <w:highlight w:val="none"/>
              </w:rPr>
            </w:pPr>
            <w:r>
              <w:rPr>
                <w:rFonts w:ascii="Times New Roman" w:hAnsi="Times New Roman"/>
                <w:highlight w:val="none"/>
              </w:rPr>
              <w:t>第</w:t>
            </w:r>
            <w:r>
              <w:rPr>
                <w:rFonts w:hint="eastAsia" w:ascii="Times New Roman" w:hAnsi="Times New Roman"/>
                <w:highlight w:val="none"/>
              </w:rPr>
              <w:t>四</w:t>
            </w:r>
            <w:r>
              <w:rPr>
                <w:rFonts w:ascii="Times New Roman" w:hAnsi="Times New Roman"/>
                <w:highlight w:val="none"/>
              </w:rPr>
              <w:t>章采购需求。</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1701" w:type="dxa"/>
            <w:vAlign w:val="center"/>
          </w:tcPr>
          <w:p>
            <w:pPr>
              <w:adjustRightInd w:val="0"/>
              <w:snapToGrid w:val="0"/>
              <w:spacing w:line="360" w:lineRule="auto"/>
              <w:jc w:val="center"/>
              <w:rPr>
                <w:rFonts w:ascii="Times New Roman" w:hAnsi="Times New Roman"/>
                <w:highlight w:val="none"/>
              </w:rPr>
            </w:pPr>
            <w:r>
              <w:rPr>
                <w:rFonts w:ascii="Times New Roman" w:hAnsi="Times New Roman"/>
                <w:highlight w:val="none"/>
              </w:rPr>
              <w:t>本章第二节</w:t>
            </w:r>
          </w:p>
          <w:p>
            <w:pPr>
              <w:adjustRightInd w:val="0"/>
              <w:snapToGrid w:val="0"/>
              <w:spacing w:line="360" w:lineRule="auto"/>
              <w:jc w:val="center"/>
              <w:rPr>
                <w:rFonts w:ascii="Times New Roman" w:hAnsi="Times New Roman"/>
                <w:bCs/>
                <w:highlight w:val="none"/>
              </w:rPr>
            </w:pPr>
            <w:r>
              <w:rPr>
                <w:rFonts w:ascii="Times New Roman" w:hAnsi="Times New Roman"/>
                <w:highlight w:val="none"/>
              </w:rPr>
              <w:t>第20.2款</w:t>
            </w:r>
          </w:p>
        </w:tc>
        <w:tc>
          <w:tcPr>
            <w:tcW w:w="1843" w:type="dxa"/>
            <w:vAlign w:val="center"/>
          </w:tcPr>
          <w:p>
            <w:pPr>
              <w:adjustRightInd w:val="0"/>
              <w:snapToGrid w:val="0"/>
              <w:spacing w:line="360" w:lineRule="auto"/>
              <w:jc w:val="left"/>
              <w:rPr>
                <w:rFonts w:ascii="Times New Roman" w:hAnsi="Times New Roman"/>
                <w:bCs/>
                <w:highlight w:val="none"/>
              </w:rPr>
            </w:pPr>
            <w:r>
              <w:rPr>
                <w:rFonts w:ascii="Times New Roman" w:hAnsi="Times New Roman"/>
                <w:highlight w:val="none"/>
              </w:rPr>
              <w:t>解决争议的方式</w:t>
            </w:r>
          </w:p>
        </w:tc>
        <w:tc>
          <w:tcPr>
            <w:tcW w:w="5464" w:type="dxa"/>
            <w:vAlign w:val="center"/>
          </w:tcPr>
          <w:p>
            <w:pPr>
              <w:adjustRightInd w:val="0"/>
              <w:snapToGrid w:val="0"/>
              <w:spacing w:line="360" w:lineRule="auto"/>
              <w:jc w:val="left"/>
              <w:rPr>
                <w:rFonts w:ascii="Times New Roman" w:hAnsi="Times New Roman"/>
                <w:highlight w:val="none"/>
              </w:rPr>
            </w:pPr>
            <w:r>
              <w:rPr>
                <w:rFonts w:hint="eastAsia" w:ascii="Times New Roman" w:hAnsi="Times New Roman"/>
                <w:highlight w:val="none"/>
              </w:rPr>
              <w:t>☑</w:t>
            </w:r>
            <w:r>
              <w:rPr>
                <w:rFonts w:ascii="Times New Roman" w:hAnsi="Times New Roman"/>
                <w:highlight w:val="none"/>
              </w:rPr>
              <w:t>诉讼</w:t>
            </w:r>
          </w:p>
          <w:p>
            <w:pPr>
              <w:adjustRightInd w:val="0"/>
              <w:snapToGrid w:val="0"/>
              <w:spacing w:line="360" w:lineRule="auto"/>
              <w:jc w:val="left"/>
              <w:rPr>
                <w:rFonts w:ascii="Times New Roman" w:hAnsi="Times New Roman"/>
                <w:highlight w:val="none"/>
              </w:rPr>
            </w:pPr>
            <w:r>
              <w:rPr>
                <w:rFonts w:ascii="Times New Roman" w:hAnsi="Times New Roman"/>
                <w:highlight w:val="none"/>
              </w:rPr>
              <w:t>□ 仲裁</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1701" w:type="dxa"/>
            <w:vAlign w:val="center"/>
          </w:tcPr>
          <w:p>
            <w:pPr>
              <w:adjustRightInd w:val="0"/>
              <w:snapToGrid w:val="0"/>
              <w:spacing w:line="360" w:lineRule="auto"/>
              <w:jc w:val="center"/>
              <w:rPr>
                <w:rFonts w:ascii="Times New Roman" w:hAnsi="Times New Roman"/>
                <w:highlight w:val="none"/>
              </w:rPr>
            </w:pPr>
            <w:r>
              <w:rPr>
                <w:rFonts w:ascii="Times New Roman" w:hAnsi="Times New Roman"/>
                <w:highlight w:val="none"/>
              </w:rPr>
              <w:t>本章第二节</w:t>
            </w:r>
          </w:p>
          <w:p>
            <w:pPr>
              <w:adjustRightInd w:val="0"/>
              <w:snapToGrid w:val="0"/>
              <w:spacing w:line="360" w:lineRule="auto"/>
              <w:jc w:val="center"/>
              <w:rPr>
                <w:rFonts w:ascii="Times New Roman" w:hAnsi="Times New Roman"/>
                <w:highlight w:val="none"/>
              </w:rPr>
            </w:pPr>
            <w:r>
              <w:rPr>
                <w:rFonts w:ascii="Times New Roman" w:hAnsi="Times New Roman"/>
                <w:highlight w:val="none"/>
              </w:rPr>
              <w:t>第23.1款</w:t>
            </w:r>
          </w:p>
        </w:tc>
        <w:tc>
          <w:tcPr>
            <w:tcW w:w="1843" w:type="dxa"/>
            <w:vAlign w:val="center"/>
          </w:tcPr>
          <w:p>
            <w:pPr>
              <w:adjustRightInd w:val="0"/>
              <w:snapToGrid w:val="0"/>
              <w:spacing w:line="360" w:lineRule="auto"/>
              <w:jc w:val="left"/>
              <w:rPr>
                <w:rFonts w:ascii="Times New Roman" w:hAnsi="Times New Roman"/>
                <w:highlight w:val="none"/>
              </w:rPr>
            </w:pPr>
            <w:r>
              <w:rPr>
                <w:rFonts w:ascii="Times New Roman" w:hAnsi="Times New Roman"/>
                <w:bCs/>
                <w:highlight w:val="none"/>
              </w:rPr>
              <w:t>合同未尽事项</w:t>
            </w:r>
          </w:p>
        </w:tc>
        <w:tc>
          <w:tcPr>
            <w:tcW w:w="5464" w:type="dxa"/>
            <w:vAlign w:val="center"/>
          </w:tcPr>
          <w:p>
            <w:pPr>
              <w:adjustRightInd w:val="0"/>
              <w:snapToGrid w:val="0"/>
              <w:spacing w:line="360" w:lineRule="auto"/>
              <w:jc w:val="left"/>
              <w:rPr>
                <w:rFonts w:ascii="Times New Roman" w:hAnsi="Times New Roman"/>
                <w:highlight w:val="none"/>
                <w:u w:val="single"/>
              </w:rPr>
            </w:pPr>
            <w:r>
              <w:rPr>
                <w:rFonts w:ascii="Times New Roman" w:hAnsi="Times New Roman"/>
                <w:highlight w:val="none"/>
              </w:rPr>
              <w:t>合同中约定</w:t>
            </w:r>
          </w:p>
        </w:tc>
      </w:tr>
    </w:tbl>
    <w:p>
      <w:pPr>
        <w:pStyle w:val="10"/>
        <w:snapToGrid w:val="0"/>
        <w:jc w:val="center"/>
        <w:rPr>
          <w:rFonts w:ascii="黑体" w:eastAsia="黑体" w:cs="黑体"/>
          <w:b/>
          <w:bCs/>
          <w:sz w:val="32"/>
          <w:szCs w:val="32"/>
          <w:highlight w:val="none"/>
        </w:rPr>
      </w:pPr>
      <w:r>
        <w:rPr>
          <w:rFonts w:ascii="黑体" w:hAnsi="宋体" w:eastAsia="黑体" w:cs="黑体"/>
          <w:b/>
          <w:bCs/>
          <w:sz w:val="32"/>
          <w:szCs w:val="32"/>
          <w:highlight w:val="none"/>
        </w:rPr>
        <w:br w:type="page"/>
      </w:r>
      <w:r>
        <w:rPr>
          <w:rFonts w:hint="eastAsia" w:ascii="黑体" w:hAnsi="宋体" w:eastAsia="黑体" w:cs="黑体"/>
          <w:b/>
          <w:bCs/>
          <w:sz w:val="32"/>
          <w:szCs w:val="32"/>
          <w:highlight w:val="none"/>
        </w:rPr>
        <w:t>第四章</w:t>
      </w:r>
      <w:r>
        <w:rPr>
          <w:rFonts w:ascii="黑体" w:hAnsi="宋体" w:eastAsia="黑体" w:cs="黑体"/>
          <w:b/>
          <w:bCs/>
          <w:sz w:val="32"/>
          <w:szCs w:val="32"/>
          <w:highlight w:val="none"/>
        </w:rPr>
        <w:t xml:space="preserve">  </w:t>
      </w:r>
      <w:r>
        <w:rPr>
          <w:rFonts w:hint="eastAsia" w:ascii="黑体" w:eastAsia="黑体" w:cs="黑体"/>
          <w:b/>
          <w:bCs/>
          <w:sz w:val="32"/>
          <w:szCs w:val="32"/>
          <w:highlight w:val="none"/>
        </w:rPr>
        <w:t>采购需求</w:t>
      </w:r>
    </w:p>
    <w:p>
      <w:pPr>
        <w:adjustRightInd w:val="0"/>
        <w:snapToGrid w:val="0"/>
        <w:spacing w:before="50" w:line="360" w:lineRule="auto"/>
        <w:jc w:val="left"/>
        <w:rPr>
          <w:rFonts w:ascii="Times New Roman" w:hAnsi="Times New Roman" w:eastAsiaTheme="minorEastAsia"/>
          <w:b/>
          <w:bCs/>
          <w:sz w:val="24"/>
          <w:highlight w:val="none"/>
        </w:rPr>
      </w:pPr>
      <w:r>
        <w:rPr>
          <w:rFonts w:hint="eastAsia" w:ascii="Times New Roman" w:hAnsi="Times New Roman" w:eastAsiaTheme="minorEastAsia"/>
          <w:b/>
          <w:bCs/>
          <w:sz w:val="24"/>
          <w:highlight w:val="none"/>
        </w:rPr>
        <w:t>一、项目基本情况</w:t>
      </w:r>
    </w:p>
    <w:p>
      <w:pPr>
        <w:autoSpaceDE w:val="0"/>
        <w:autoSpaceDN w:val="0"/>
        <w:adjustRightInd w:val="0"/>
        <w:snapToGrid w:val="0"/>
        <w:spacing w:before="50" w:line="360" w:lineRule="auto"/>
        <w:ind w:firstLine="420" w:firstLineChars="200"/>
        <w:jc w:val="left"/>
        <w:rPr>
          <w:rFonts w:ascii="Times New Roman" w:hAnsi="Times New Roman" w:eastAsiaTheme="minorEastAsia"/>
          <w:highlight w:val="none"/>
        </w:rPr>
      </w:pPr>
      <w:r>
        <w:rPr>
          <w:rFonts w:hint="eastAsia" w:ascii="Times New Roman" w:hAnsi="Times New Roman" w:eastAsiaTheme="minorEastAsia"/>
          <w:highlight w:val="none"/>
        </w:rPr>
        <w:t>项目名称：湖南省地震局防震减灾公共服务平台项目设计服务采购</w:t>
      </w:r>
    </w:p>
    <w:p>
      <w:pPr>
        <w:autoSpaceDE w:val="0"/>
        <w:autoSpaceDN w:val="0"/>
        <w:adjustRightInd w:val="0"/>
        <w:snapToGrid w:val="0"/>
        <w:spacing w:before="50" w:line="360" w:lineRule="auto"/>
        <w:ind w:firstLine="420" w:firstLineChars="200"/>
        <w:jc w:val="left"/>
        <w:rPr>
          <w:rFonts w:ascii="Times New Roman" w:hAnsi="Times New Roman" w:eastAsiaTheme="minorEastAsia"/>
          <w:highlight w:val="none"/>
        </w:rPr>
      </w:pPr>
      <w:r>
        <w:rPr>
          <w:rFonts w:hint="eastAsia" w:ascii="Times New Roman" w:hAnsi="Times New Roman" w:eastAsiaTheme="minorEastAsia"/>
          <w:highlight w:val="none"/>
        </w:rPr>
        <w:t>项目预算：10万元</w:t>
      </w:r>
    </w:p>
    <w:p>
      <w:pPr>
        <w:autoSpaceDE w:val="0"/>
        <w:autoSpaceDN w:val="0"/>
        <w:adjustRightInd w:val="0"/>
        <w:snapToGrid w:val="0"/>
        <w:spacing w:before="50" w:line="360" w:lineRule="auto"/>
        <w:ind w:firstLine="420" w:firstLineChars="200"/>
        <w:jc w:val="left"/>
        <w:rPr>
          <w:rFonts w:ascii="Times New Roman" w:hAnsi="Times New Roman" w:eastAsiaTheme="minorEastAsia"/>
          <w:highlight w:val="none"/>
        </w:rPr>
      </w:pPr>
      <w:r>
        <w:rPr>
          <w:rFonts w:hint="eastAsia" w:ascii="Times New Roman" w:hAnsi="Times New Roman" w:eastAsiaTheme="minorEastAsia"/>
          <w:highlight w:val="none"/>
        </w:rPr>
        <w:t>建设地点：湖南省长沙市</w:t>
      </w:r>
    </w:p>
    <w:p>
      <w:pPr>
        <w:autoSpaceDE w:val="0"/>
        <w:autoSpaceDN w:val="0"/>
        <w:adjustRightInd w:val="0"/>
        <w:snapToGrid w:val="0"/>
        <w:spacing w:before="50" w:line="360" w:lineRule="auto"/>
        <w:ind w:firstLine="420" w:firstLineChars="200"/>
        <w:jc w:val="left"/>
        <w:rPr>
          <w:rFonts w:hint="default" w:ascii="Times New Roman" w:hAnsi="Times New Roman" w:eastAsiaTheme="minorEastAsia"/>
          <w:highlight w:val="none"/>
          <w:lang w:val="en-US" w:eastAsia="zh-CN"/>
        </w:rPr>
      </w:pPr>
      <w:r>
        <w:rPr>
          <w:rFonts w:hint="eastAsia" w:ascii="Times New Roman" w:hAnsi="Times New Roman" w:eastAsiaTheme="minorEastAsia"/>
          <w:highlight w:val="none"/>
        </w:rPr>
        <w:t>建设</w:t>
      </w:r>
      <w:r>
        <w:rPr>
          <w:rFonts w:hint="eastAsia" w:ascii="Times New Roman" w:hAnsi="Times New Roman" w:eastAsiaTheme="minorEastAsia"/>
          <w:highlight w:val="none"/>
          <w:lang w:eastAsia="zh-CN"/>
        </w:rPr>
        <w:t>目标</w:t>
      </w:r>
      <w:r>
        <w:rPr>
          <w:rFonts w:hint="eastAsia" w:ascii="Times New Roman" w:hAnsi="Times New Roman" w:eastAsiaTheme="minorEastAsia"/>
          <w:highlight w:val="none"/>
        </w:rPr>
        <w:t>：</w:t>
      </w:r>
      <w:r>
        <w:rPr>
          <w:rFonts w:hint="eastAsia" w:ascii="Times New Roman" w:hAnsi="Times New Roman" w:eastAsiaTheme="minorEastAsia"/>
          <w:highlight w:val="none"/>
          <w:lang w:eastAsia="zh-CN"/>
        </w:rPr>
        <w:t>合同签订后</w:t>
      </w:r>
      <w:r>
        <w:rPr>
          <w:rFonts w:hint="eastAsia" w:ascii="Times New Roman" w:hAnsi="Times New Roman" w:eastAsiaTheme="minorEastAsia"/>
          <w:highlight w:val="none"/>
          <w:lang w:val="en-US" w:eastAsia="zh-CN"/>
        </w:rPr>
        <w:t>30自然日完成方案编制，配合项目参与立项审查。</w:t>
      </w:r>
    </w:p>
    <w:p>
      <w:pPr>
        <w:adjustRightInd w:val="0"/>
        <w:snapToGrid w:val="0"/>
        <w:spacing w:before="50" w:line="360" w:lineRule="auto"/>
        <w:jc w:val="left"/>
        <w:rPr>
          <w:rFonts w:ascii="Times New Roman" w:hAnsi="Times New Roman" w:eastAsiaTheme="minorEastAsia"/>
          <w:b/>
          <w:bCs/>
          <w:sz w:val="24"/>
          <w:highlight w:val="none"/>
        </w:rPr>
      </w:pPr>
      <w:r>
        <w:rPr>
          <w:rFonts w:hint="eastAsia" w:ascii="Times New Roman" w:hAnsi="Times New Roman" w:eastAsiaTheme="minorEastAsia"/>
          <w:b/>
          <w:bCs/>
          <w:sz w:val="24"/>
          <w:highlight w:val="none"/>
        </w:rPr>
        <w:t>二、项目建设目标</w:t>
      </w:r>
    </w:p>
    <w:p>
      <w:pPr>
        <w:autoSpaceDE w:val="0"/>
        <w:autoSpaceDN w:val="0"/>
        <w:adjustRightInd w:val="0"/>
        <w:snapToGrid w:val="0"/>
        <w:spacing w:before="50" w:line="360" w:lineRule="auto"/>
        <w:ind w:firstLine="420" w:firstLineChars="200"/>
        <w:jc w:val="left"/>
        <w:rPr>
          <w:rFonts w:ascii="Times New Roman" w:hAnsi="Times New Roman" w:eastAsiaTheme="minorEastAsia"/>
          <w:highlight w:val="none"/>
        </w:rPr>
      </w:pPr>
      <w:r>
        <w:rPr>
          <w:rFonts w:hint="eastAsia" w:ascii="Times New Roman" w:hAnsi="Times New Roman" w:eastAsiaTheme="minorEastAsia"/>
          <w:highlight w:val="none"/>
        </w:rPr>
        <w:t>为实现到2025年，建成功能比较完备的防震减灾公共服务体系，不断创新服务方式、拓展服务领域、丰富服务产品、扩大开放合作，基本实现防震减灾公共服务业务现代化、服务队伍专业化和服务管理规范化，地震部门公共服务能力明显增强，防震减灾公共服务发展水平与“两个一百年”奋斗目标要求基本相适应，防震减灾公共服务公众满意度达到90%以上的目标，省地震局需要建成一套功能先进、数据多元、服务多样的防震减灾公共服务信息化平台。</w:t>
      </w:r>
    </w:p>
    <w:p>
      <w:pPr>
        <w:autoSpaceDE w:val="0"/>
        <w:autoSpaceDN w:val="0"/>
        <w:adjustRightInd w:val="0"/>
        <w:snapToGrid w:val="0"/>
        <w:spacing w:before="50" w:line="360" w:lineRule="auto"/>
        <w:ind w:firstLine="420" w:firstLineChars="200"/>
        <w:jc w:val="left"/>
        <w:rPr>
          <w:rFonts w:ascii="Times New Roman" w:hAnsi="Times New Roman" w:eastAsiaTheme="minorEastAsia"/>
          <w:highlight w:val="none"/>
        </w:rPr>
      </w:pPr>
      <w:r>
        <w:rPr>
          <w:rFonts w:hint="eastAsia" w:ascii="Times New Roman" w:hAnsi="Times New Roman" w:eastAsiaTheme="minorEastAsia"/>
          <w:highlight w:val="none"/>
        </w:rPr>
        <w:t>本次建设湖南省地震局防震减灾公共服务平台项目，旨在整合全省地震系统重要信息资源，建立标准化服务接口，形成面向政府、应急协作联动部门、重点行业、社会公众等提供防震减灾公共服务业务支撑能力和服务体系。平台要有效整合地震监测预报预警、地震灾害风险防治和地震应急救援业务数据，充分运用互联网+、大数据、人工智能、虚拟现实、现代通讯传播手段等新技术。对内要实现行业数据汇集、数据管理集约化、数据格式规范化、数据产品产出自动化；对外要针对互不同组织、群体、个体分等级分权限的提供可视化地震数据查询、科普资料查询、专题地图调用、数据接口访问、信息推送等服务。建设决策服务、公众服务、专业服务、专项服务四类公共服务全流程产品链，建成集地震观测数据、地震灾害风险调查数据、地震应急响应数据和不同需求服务产品为一体的公共服务平台，构建“前店后厂”的湖南省防震减灾公共服务体系。</w:t>
      </w:r>
    </w:p>
    <w:p>
      <w:pPr>
        <w:adjustRightInd w:val="0"/>
        <w:snapToGrid w:val="0"/>
        <w:spacing w:before="50" w:line="360" w:lineRule="auto"/>
        <w:jc w:val="left"/>
        <w:rPr>
          <w:rFonts w:ascii="Times New Roman" w:hAnsi="Times New Roman" w:eastAsiaTheme="minorEastAsia"/>
          <w:b/>
          <w:bCs/>
          <w:sz w:val="24"/>
          <w:highlight w:val="none"/>
        </w:rPr>
      </w:pPr>
      <w:r>
        <w:rPr>
          <w:rFonts w:hint="eastAsia" w:ascii="Times New Roman" w:hAnsi="Times New Roman" w:eastAsiaTheme="minorEastAsia"/>
          <w:b/>
          <w:bCs/>
          <w:sz w:val="24"/>
          <w:highlight w:val="none"/>
        </w:rPr>
        <w:t>三、项目建设内容</w:t>
      </w:r>
    </w:p>
    <w:p>
      <w:pPr>
        <w:autoSpaceDE w:val="0"/>
        <w:autoSpaceDN w:val="0"/>
        <w:adjustRightInd w:val="0"/>
        <w:snapToGrid w:val="0"/>
        <w:spacing w:before="50" w:line="360" w:lineRule="auto"/>
        <w:ind w:firstLine="420" w:firstLineChars="200"/>
        <w:jc w:val="left"/>
        <w:rPr>
          <w:rFonts w:ascii="Times New Roman" w:hAnsi="Times New Roman" w:eastAsiaTheme="minorEastAsia"/>
          <w:highlight w:val="none"/>
        </w:rPr>
      </w:pPr>
      <w:r>
        <w:rPr>
          <w:rFonts w:hint="eastAsia" w:ascii="Times New Roman" w:hAnsi="Times New Roman" w:eastAsiaTheme="minorEastAsia"/>
          <w:highlight w:val="none"/>
        </w:rPr>
        <w:t>此次建设内容主要包括四个板块：</w:t>
      </w:r>
    </w:p>
    <w:p>
      <w:pPr>
        <w:autoSpaceDE w:val="0"/>
        <w:autoSpaceDN w:val="0"/>
        <w:adjustRightInd w:val="0"/>
        <w:snapToGrid w:val="0"/>
        <w:spacing w:before="50" w:line="360" w:lineRule="auto"/>
        <w:ind w:firstLine="420" w:firstLineChars="200"/>
        <w:jc w:val="left"/>
        <w:rPr>
          <w:rFonts w:ascii="Times New Roman" w:hAnsi="Times New Roman" w:eastAsiaTheme="minorEastAsia"/>
          <w:highlight w:val="none"/>
        </w:rPr>
      </w:pPr>
      <w:r>
        <w:rPr>
          <w:rFonts w:hint="eastAsia" w:ascii="Times New Roman" w:hAnsi="Times New Roman" w:eastAsiaTheme="minorEastAsia"/>
          <w:highlight w:val="none"/>
        </w:rPr>
        <w:t>1.专业服务板块：打造湖南省地震局地震灾害监测、灾害预警、灾害分析、灾害评估、灾害防治等全流程专业服务基础能力。需集成或完善、新建地震监测台网建设和运维平台、地震预警服务系统、地球物理台网观测运维系统、地震活动断层探查系统、地震灾害风险评估系统、建设工程安全监测与健康诊断系统、地震现场建筑物调查评估和安全鉴定技术服务体系、房屋设施加固技术服务系统、减隔震技术服务系统等。</w:t>
      </w:r>
    </w:p>
    <w:p>
      <w:pPr>
        <w:autoSpaceDE w:val="0"/>
        <w:autoSpaceDN w:val="0"/>
        <w:adjustRightInd w:val="0"/>
        <w:snapToGrid w:val="0"/>
        <w:spacing w:before="50" w:line="360" w:lineRule="auto"/>
        <w:ind w:firstLine="420" w:firstLineChars="200"/>
        <w:jc w:val="left"/>
        <w:rPr>
          <w:rFonts w:ascii="Times New Roman" w:hAnsi="Times New Roman" w:eastAsiaTheme="minorEastAsia"/>
          <w:highlight w:val="none"/>
        </w:rPr>
      </w:pPr>
      <w:r>
        <w:rPr>
          <w:rFonts w:hint="eastAsia" w:ascii="Times New Roman" w:hAnsi="Times New Roman" w:eastAsiaTheme="minorEastAsia"/>
          <w:highlight w:val="none"/>
        </w:rPr>
        <w:t>2.公众服务板块：面向社会公众普及防震减灾知识，推送历史地震数据、图件、地震监测信息及震灾预测数据等。需集成或完善、新建地震速报信息发布系统、地震预警信息发布系统、地震烈度信息发布系统、历史地震信息发布系统、地震活动断层基础信息发布系统、地震风险区划基础信息发布系统、防震减灾科学普及信息发布系统等。</w:t>
      </w:r>
    </w:p>
    <w:p>
      <w:pPr>
        <w:autoSpaceDE w:val="0"/>
        <w:autoSpaceDN w:val="0"/>
        <w:adjustRightInd w:val="0"/>
        <w:snapToGrid w:val="0"/>
        <w:spacing w:before="50" w:line="360" w:lineRule="auto"/>
        <w:ind w:firstLine="420" w:firstLineChars="200"/>
        <w:jc w:val="left"/>
        <w:rPr>
          <w:rFonts w:ascii="Times New Roman" w:hAnsi="Times New Roman" w:eastAsiaTheme="minorEastAsia"/>
          <w:highlight w:val="none"/>
        </w:rPr>
      </w:pPr>
      <w:r>
        <w:rPr>
          <w:rFonts w:hint="eastAsia" w:ascii="Times New Roman" w:hAnsi="Times New Roman" w:eastAsiaTheme="minorEastAsia"/>
          <w:highlight w:val="none"/>
        </w:rPr>
        <w:t>3.决策服务板块：当地震灾害即将来临、已经来临时，为上级单位决策部署、应急管理部门指挥调度及其它管理部门应对灾害提供决策依据和数据支撑。需要集成或完善、新建地震速报信息系统、地震灾害快速评估系统、地震烈度信息分析研判系统、震后趋势研判系统、短期地震预测系统、年度地震危险区信息研判预测系统、地震重点监视防御区信息研判系统、地震灾害损失评估和恢复重建技术建议体系、地质灾害和其它地面震动事件监测预警信息系统。</w:t>
      </w:r>
    </w:p>
    <w:p>
      <w:pPr>
        <w:autoSpaceDE w:val="0"/>
        <w:autoSpaceDN w:val="0"/>
        <w:adjustRightInd w:val="0"/>
        <w:snapToGrid w:val="0"/>
        <w:spacing w:before="50" w:line="360" w:lineRule="auto"/>
        <w:ind w:firstLine="420" w:firstLineChars="200"/>
        <w:jc w:val="left"/>
        <w:rPr>
          <w:rFonts w:ascii="Times New Roman" w:hAnsi="Times New Roman" w:eastAsiaTheme="minorEastAsia"/>
          <w:highlight w:val="none"/>
        </w:rPr>
      </w:pPr>
      <w:r>
        <w:rPr>
          <w:rFonts w:hint="eastAsia" w:ascii="Times New Roman" w:hAnsi="Times New Roman" w:eastAsiaTheme="minorEastAsia"/>
          <w:highlight w:val="none"/>
        </w:rPr>
        <w:t>4.专项服务板块：建设地震安全保障服务体系。为重要活动（访问、论坛、赛事等人员高度密集）场景、特殊设施（炼化厂、核电站、水库、超高建筑等二次灾害危害性极高）场所等提供地震安全保障专项服务。需建设完善地震速报信息定向推送系统、地震预警信息定向推送系统、地震烈度信息定向推送系统等。</w:t>
      </w:r>
    </w:p>
    <w:p>
      <w:pPr>
        <w:adjustRightInd w:val="0"/>
        <w:snapToGrid w:val="0"/>
        <w:spacing w:before="50" w:line="360" w:lineRule="auto"/>
        <w:jc w:val="left"/>
        <w:rPr>
          <w:rFonts w:ascii="Times New Roman" w:hAnsi="Times New Roman" w:eastAsiaTheme="minorEastAsia"/>
          <w:b/>
          <w:bCs/>
          <w:sz w:val="24"/>
          <w:highlight w:val="none"/>
        </w:rPr>
      </w:pPr>
      <w:r>
        <w:rPr>
          <w:rFonts w:hint="eastAsia" w:ascii="Times New Roman" w:hAnsi="Times New Roman" w:eastAsiaTheme="minorEastAsia"/>
          <w:b/>
          <w:bCs/>
          <w:sz w:val="24"/>
          <w:highlight w:val="none"/>
        </w:rPr>
        <w:t>四、设计要求</w:t>
      </w:r>
    </w:p>
    <w:p>
      <w:pPr>
        <w:autoSpaceDE w:val="0"/>
        <w:autoSpaceDN w:val="0"/>
        <w:adjustRightInd w:val="0"/>
        <w:snapToGrid w:val="0"/>
        <w:spacing w:before="50" w:line="360" w:lineRule="auto"/>
        <w:ind w:firstLine="420" w:firstLineChars="200"/>
        <w:jc w:val="left"/>
        <w:rPr>
          <w:rFonts w:ascii="Times New Roman" w:hAnsi="Times New Roman" w:eastAsiaTheme="minorEastAsia"/>
          <w:highlight w:val="none"/>
        </w:rPr>
      </w:pPr>
      <w:r>
        <w:rPr>
          <w:rFonts w:hint="eastAsia" w:ascii="Times New Roman" w:hAnsi="Times New Roman" w:eastAsiaTheme="minorEastAsia"/>
          <w:highlight w:val="none"/>
        </w:rPr>
        <w:t>1.基于我局信息化建设现状，对本次建设防震减灾公共服务平台进行需求调研，对现状进行梳理（硬件基础、软件基础、平行单位数据共享、垂直单位数据互通、公众数据开放等），需求分析（业务需求、系统功能需求、性能需求、网络安全需求等），建设思路论证（采用的新技术、新工艺，突出重点、难点和创新点分析），总体方案搭建（总体架构、系统拓扑、数据流向、系统接口等），各系统建设方案设计（建设目标、系统架构、功能描述、系统接口、设备技术参数等；系统软硬件物理部署方案；项目建设标准等）。</w:t>
      </w:r>
    </w:p>
    <w:p>
      <w:pPr>
        <w:autoSpaceDE w:val="0"/>
        <w:autoSpaceDN w:val="0"/>
        <w:adjustRightInd w:val="0"/>
        <w:snapToGrid w:val="0"/>
        <w:spacing w:before="50" w:line="360" w:lineRule="auto"/>
        <w:ind w:firstLine="420" w:firstLineChars="200"/>
        <w:jc w:val="left"/>
        <w:rPr>
          <w:rFonts w:ascii="Times New Roman" w:hAnsi="Times New Roman" w:eastAsiaTheme="minorEastAsia"/>
          <w:highlight w:val="none"/>
        </w:rPr>
      </w:pPr>
      <w:r>
        <w:rPr>
          <w:rFonts w:hint="eastAsia" w:ascii="Times New Roman" w:hAnsi="Times New Roman" w:eastAsiaTheme="minorEastAsia"/>
          <w:highlight w:val="none"/>
        </w:rPr>
        <w:t>2.依据&lt;&lt;中震服函〔2020〕4号_关于做好防震减灾公共服务相关工作的通知&gt;&gt;、&lt;&lt;震台网函[2020]152号-智慧服务“十四五”实施方案&gt;&gt;、&lt;&lt;湖南省地震局关于印发权力清单及公共服务事项清单的通知&gt;&gt;等文件要求，结合我省及省局实际情况，编制形成包括建设单位概况、项目需求分析和项目建设的必要性分析、项目建设方案、项目招标方案、项目组织机构和人员培训、项目实施进度、投资</w:t>
      </w:r>
      <w:r>
        <w:rPr>
          <w:rFonts w:hint="eastAsia" w:ascii="Times New Roman" w:hAnsi="Times New Roman" w:eastAsiaTheme="minorEastAsia"/>
          <w:highlight w:val="none"/>
          <w:lang w:eastAsia="zh-CN"/>
        </w:rPr>
        <w:t>概算</w:t>
      </w:r>
      <w:r>
        <w:rPr>
          <w:rFonts w:hint="eastAsia" w:ascii="Times New Roman" w:hAnsi="Times New Roman" w:eastAsiaTheme="minorEastAsia"/>
          <w:highlight w:val="none"/>
        </w:rPr>
        <w:t>和资金来源、效益分析、风险分析、结论和建议等内容在内的项目可行性分析报告。</w:t>
      </w:r>
    </w:p>
    <w:p>
      <w:pPr>
        <w:autoSpaceDE w:val="0"/>
        <w:autoSpaceDN w:val="0"/>
        <w:adjustRightInd w:val="0"/>
        <w:snapToGrid w:val="0"/>
        <w:spacing w:before="50" w:line="360" w:lineRule="auto"/>
        <w:ind w:firstLine="420" w:firstLineChars="200"/>
        <w:jc w:val="left"/>
        <w:rPr>
          <w:rFonts w:hint="eastAsia" w:ascii="Times New Roman" w:hAnsi="Times New Roman" w:eastAsiaTheme="minorEastAsia"/>
          <w:highlight w:val="none"/>
          <w:lang w:eastAsia="zh-CN"/>
        </w:rPr>
      </w:pPr>
      <w:r>
        <w:rPr>
          <w:rFonts w:hint="eastAsia" w:ascii="Times New Roman" w:hAnsi="Times New Roman" w:eastAsiaTheme="minorEastAsia"/>
          <w:highlight w:val="none"/>
        </w:rPr>
        <w:t>3.设计方案及投资概算报审，项目招标技术文件的撰写，项目实施方案审核，系统试运行、项目验收等重要建设节点给予我局必要的配合及咨询服务。</w:t>
      </w:r>
      <w:r>
        <w:rPr>
          <w:rFonts w:hint="eastAsia" w:ascii="Times New Roman" w:hAnsi="Times New Roman" w:eastAsiaTheme="minorEastAsia"/>
          <w:highlight w:val="none"/>
          <w:lang w:eastAsia="zh-CN"/>
        </w:rPr>
        <w:t>配合项目整体参加省发改委项目立项审批工作，根据我局要求进行修改完善。</w:t>
      </w:r>
    </w:p>
    <w:p>
      <w:pPr>
        <w:autoSpaceDE w:val="0"/>
        <w:autoSpaceDN w:val="0"/>
        <w:adjustRightInd w:val="0"/>
        <w:snapToGrid w:val="0"/>
        <w:spacing w:before="50" w:line="360" w:lineRule="auto"/>
        <w:ind w:firstLine="420" w:firstLineChars="200"/>
        <w:jc w:val="left"/>
        <w:rPr>
          <w:rFonts w:ascii="Times New Roman" w:hAnsi="Times New Roman" w:eastAsiaTheme="minorEastAsia"/>
          <w:highlight w:val="none"/>
        </w:rPr>
      </w:pPr>
      <w:r>
        <w:rPr>
          <w:rFonts w:hint="eastAsia" w:ascii="Times New Roman" w:hAnsi="Times New Roman" w:eastAsiaTheme="minorEastAsia"/>
          <w:highlight w:val="none"/>
        </w:rPr>
        <w:t>4.时间要求：</w:t>
      </w:r>
      <w:r>
        <w:rPr>
          <w:rFonts w:hint="eastAsia" w:ascii="Times New Roman" w:hAnsi="Times New Roman" w:eastAsiaTheme="minorEastAsia"/>
          <w:highlight w:val="none"/>
        </w:rPr>
        <w:t>合同签订后30个自然日完成方案编制。</w:t>
      </w:r>
    </w:p>
    <w:p>
      <w:pPr>
        <w:adjustRightInd w:val="0"/>
        <w:snapToGrid w:val="0"/>
        <w:spacing w:before="50" w:line="360" w:lineRule="auto"/>
        <w:jc w:val="left"/>
        <w:rPr>
          <w:rFonts w:ascii="Times New Roman" w:hAnsi="Times New Roman" w:eastAsiaTheme="minorEastAsia"/>
          <w:b/>
          <w:bCs/>
          <w:sz w:val="24"/>
          <w:highlight w:val="none"/>
        </w:rPr>
      </w:pPr>
      <w:r>
        <w:rPr>
          <w:rFonts w:hint="eastAsia" w:ascii="Times New Roman" w:hAnsi="Times New Roman" w:eastAsiaTheme="minorEastAsia"/>
          <w:b/>
          <w:bCs/>
          <w:sz w:val="24"/>
          <w:highlight w:val="none"/>
        </w:rPr>
        <w:t>五、验收条件</w:t>
      </w:r>
    </w:p>
    <w:p>
      <w:pPr>
        <w:autoSpaceDE w:val="0"/>
        <w:autoSpaceDN w:val="0"/>
        <w:adjustRightInd w:val="0"/>
        <w:snapToGrid w:val="0"/>
        <w:spacing w:before="50" w:line="360" w:lineRule="auto"/>
        <w:ind w:firstLine="420" w:firstLineChars="200"/>
        <w:jc w:val="left"/>
        <w:rPr>
          <w:rFonts w:ascii="Times New Roman" w:hAnsi="Times New Roman" w:eastAsiaTheme="minorEastAsia"/>
          <w:highlight w:val="none"/>
        </w:rPr>
      </w:pPr>
      <w:r>
        <w:rPr>
          <w:rFonts w:hint="eastAsia" w:ascii="Times New Roman" w:hAnsi="Times New Roman" w:eastAsiaTheme="minorEastAsia"/>
          <w:highlight w:val="none"/>
        </w:rPr>
        <w:t>1.由甲方负责对初步设计方案及投资概算初稿及其相关文档进行审查，并及时反馈修改意见，乙方须根据修改意见及时进行修改完善。</w:t>
      </w:r>
    </w:p>
    <w:p>
      <w:pPr>
        <w:autoSpaceDE w:val="0"/>
        <w:autoSpaceDN w:val="0"/>
        <w:adjustRightInd w:val="0"/>
        <w:snapToGrid w:val="0"/>
        <w:spacing w:before="50" w:line="360" w:lineRule="auto"/>
        <w:ind w:firstLine="420" w:firstLineChars="200"/>
        <w:jc w:val="left"/>
        <w:rPr>
          <w:rFonts w:ascii="Times New Roman" w:hAnsi="Times New Roman" w:eastAsiaTheme="minorEastAsia"/>
          <w:highlight w:val="none"/>
        </w:rPr>
      </w:pPr>
      <w:r>
        <w:rPr>
          <w:rFonts w:hint="eastAsia" w:ascii="Times New Roman" w:hAnsi="Times New Roman" w:eastAsiaTheme="minorEastAsia"/>
          <w:highlight w:val="none"/>
        </w:rPr>
        <w:t>2.由甲方组建初步验收小组，通过座谈评审等方式，对修改完善后的初步设计方案及投资概算成果进行论证及初步验收审查。</w:t>
      </w:r>
    </w:p>
    <w:p>
      <w:pPr>
        <w:autoSpaceDE w:val="0"/>
        <w:autoSpaceDN w:val="0"/>
        <w:adjustRightInd w:val="0"/>
        <w:snapToGrid w:val="0"/>
        <w:spacing w:before="50" w:line="360" w:lineRule="auto"/>
        <w:ind w:firstLine="420" w:firstLineChars="200"/>
        <w:jc w:val="left"/>
        <w:rPr>
          <w:rFonts w:hint="eastAsia" w:ascii="Times New Roman" w:hAnsi="Times New Roman" w:eastAsiaTheme="minorEastAsia"/>
          <w:highlight w:val="none"/>
        </w:rPr>
      </w:pPr>
      <w:r>
        <w:rPr>
          <w:rFonts w:hint="eastAsia" w:ascii="Times New Roman" w:hAnsi="Times New Roman" w:eastAsiaTheme="minorEastAsia"/>
          <w:highlight w:val="none"/>
        </w:rPr>
        <w:t>3.初步验收审查通过后，将初步设计方案及投资概算最终成果报省局党组批准。该项目审批通过，则视为项目最终验收审查通过。</w:t>
      </w:r>
    </w:p>
    <w:p>
      <w:pPr>
        <w:adjustRightInd w:val="0"/>
        <w:snapToGrid w:val="0"/>
        <w:spacing w:before="50" w:line="360" w:lineRule="auto"/>
        <w:jc w:val="left"/>
        <w:rPr>
          <w:rFonts w:hint="eastAsia" w:ascii="Times New Roman" w:hAnsi="Times New Roman" w:eastAsiaTheme="minorEastAsia"/>
          <w:b/>
          <w:bCs/>
          <w:sz w:val="24"/>
          <w:highlight w:val="none"/>
          <w:lang w:eastAsia="zh-CN"/>
        </w:rPr>
      </w:pPr>
      <w:r>
        <w:rPr>
          <w:rFonts w:hint="eastAsia" w:ascii="Times New Roman" w:hAnsi="Times New Roman" w:eastAsiaTheme="minorEastAsia"/>
          <w:b/>
          <w:bCs/>
          <w:sz w:val="24"/>
          <w:highlight w:val="none"/>
          <w:lang w:eastAsia="zh-CN"/>
        </w:rPr>
        <w:t>六、付款方式</w:t>
      </w:r>
    </w:p>
    <w:p>
      <w:pPr>
        <w:autoSpaceDE w:val="0"/>
        <w:autoSpaceDN w:val="0"/>
        <w:adjustRightInd w:val="0"/>
        <w:snapToGrid w:val="0"/>
        <w:spacing w:before="50" w:line="360" w:lineRule="auto"/>
        <w:ind w:firstLine="420" w:firstLineChars="200"/>
        <w:jc w:val="left"/>
        <w:rPr>
          <w:rFonts w:hint="default" w:ascii="Times New Roman" w:hAnsi="Times New Roman" w:eastAsiaTheme="minorEastAsia"/>
          <w:highlight w:val="none"/>
          <w:lang w:val="en-US" w:eastAsia="zh-CN"/>
        </w:rPr>
      </w:pPr>
      <w:r>
        <w:rPr>
          <w:rFonts w:hint="eastAsia" w:ascii="Times New Roman" w:hAnsi="Times New Roman" w:eastAsiaTheme="minorEastAsia"/>
          <w:highlight w:val="none"/>
          <w:lang w:val="en-US" w:eastAsia="zh-CN"/>
        </w:rPr>
        <w:t>1.项目通过甲方初步验收审查后，支付合同金额40%的合同款。项目最终验收审查通过后，支付合同金额55%合同款。剩余5%合同款在最终验收通过一年后支付。</w:t>
      </w:r>
    </w:p>
    <w:p>
      <w:pPr>
        <w:autoSpaceDE w:val="0"/>
        <w:autoSpaceDN w:val="0"/>
        <w:adjustRightInd w:val="0"/>
        <w:snapToGrid w:val="0"/>
        <w:spacing w:before="50" w:line="360" w:lineRule="auto"/>
        <w:ind w:firstLine="420" w:firstLineChars="200"/>
        <w:jc w:val="left"/>
        <w:rPr>
          <w:rFonts w:hint="default" w:ascii="Times New Roman" w:hAnsi="Times New Roman" w:eastAsiaTheme="minorEastAsia"/>
          <w:highlight w:val="none"/>
          <w:lang w:val="en-US" w:eastAsia="zh-CN"/>
        </w:rPr>
      </w:pPr>
      <w:r>
        <w:rPr>
          <w:rFonts w:hint="eastAsia" w:ascii="Times New Roman" w:hAnsi="Times New Roman" w:eastAsiaTheme="minorEastAsia"/>
          <w:highlight w:val="none"/>
          <w:lang w:val="en-US" w:eastAsia="zh-CN"/>
        </w:rPr>
        <w:t>2.支付前乙方应向甲方提供正式发票。</w:t>
      </w:r>
    </w:p>
    <w:p>
      <w:pPr>
        <w:autoSpaceDE w:val="0"/>
        <w:autoSpaceDN w:val="0"/>
        <w:adjustRightInd w:val="0"/>
        <w:snapToGrid w:val="0"/>
        <w:spacing w:before="50" w:line="360" w:lineRule="auto"/>
        <w:ind w:firstLine="422" w:firstLineChars="200"/>
        <w:jc w:val="left"/>
        <w:rPr>
          <w:rFonts w:ascii="黑体" w:eastAsia="黑体" w:cs="黑体"/>
          <w:b/>
          <w:bCs/>
          <w:sz w:val="32"/>
          <w:szCs w:val="32"/>
          <w:highlight w:val="none"/>
        </w:rPr>
      </w:pPr>
      <w:r>
        <w:rPr>
          <w:rFonts w:hint="eastAsia" w:ascii="宋体" w:hAnsi="宋体" w:cs="宋体"/>
          <w:b/>
          <w:bCs/>
          <w:highlight w:val="none"/>
        </w:rPr>
        <w:t>对于上述项目要求，供应商应在磋商文件中进行回应，做出承诺及说明。</w:t>
      </w:r>
    </w:p>
    <w:p>
      <w:pPr>
        <w:adjustRightInd w:val="0"/>
        <w:snapToGrid w:val="0"/>
        <w:spacing w:line="360" w:lineRule="auto"/>
        <w:jc w:val="center"/>
        <w:rPr>
          <w:rFonts w:hint="eastAsia" w:ascii="黑体" w:eastAsia="黑体" w:cs="黑体"/>
          <w:b/>
          <w:bCs/>
          <w:sz w:val="32"/>
          <w:szCs w:val="32"/>
          <w:highlight w:val="none"/>
        </w:rPr>
      </w:pPr>
    </w:p>
    <w:p>
      <w:pPr>
        <w:adjustRightInd w:val="0"/>
        <w:snapToGrid w:val="0"/>
        <w:spacing w:line="360" w:lineRule="auto"/>
        <w:jc w:val="center"/>
        <w:rPr>
          <w:rFonts w:hint="eastAsia" w:ascii="黑体" w:eastAsia="黑体" w:cs="黑体"/>
          <w:b/>
          <w:bCs/>
          <w:sz w:val="32"/>
          <w:szCs w:val="32"/>
          <w:highlight w:val="none"/>
        </w:rPr>
      </w:pPr>
    </w:p>
    <w:p>
      <w:pPr>
        <w:adjustRightInd w:val="0"/>
        <w:snapToGrid w:val="0"/>
        <w:spacing w:line="360" w:lineRule="auto"/>
        <w:jc w:val="center"/>
        <w:rPr>
          <w:rFonts w:hint="eastAsia" w:ascii="黑体" w:eastAsia="黑体" w:cs="黑体"/>
          <w:b/>
          <w:bCs/>
          <w:sz w:val="32"/>
          <w:szCs w:val="32"/>
          <w:highlight w:val="none"/>
        </w:rPr>
      </w:pPr>
    </w:p>
    <w:p>
      <w:pPr>
        <w:adjustRightInd w:val="0"/>
        <w:snapToGrid w:val="0"/>
        <w:spacing w:line="360" w:lineRule="auto"/>
        <w:jc w:val="center"/>
        <w:rPr>
          <w:rFonts w:hint="eastAsia" w:ascii="黑体" w:eastAsia="黑体" w:cs="黑体"/>
          <w:b/>
          <w:bCs/>
          <w:sz w:val="32"/>
          <w:szCs w:val="32"/>
          <w:highlight w:val="none"/>
        </w:rPr>
      </w:pPr>
    </w:p>
    <w:p>
      <w:pPr>
        <w:adjustRightInd w:val="0"/>
        <w:snapToGrid w:val="0"/>
        <w:spacing w:line="360" w:lineRule="auto"/>
        <w:jc w:val="center"/>
        <w:rPr>
          <w:rFonts w:hint="eastAsia" w:ascii="黑体" w:eastAsia="黑体" w:cs="黑体"/>
          <w:b/>
          <w:bCs/>
          <w:sz w:val="32"/>
          <w:szCs w:val="32"/>
          <w:highlight w:val="none"/>
        </w:rPr>
      </w:pPr>
    </w:p>
    <w:p>
      <w:pPr>
        <w:adjustRightInd w:val="0"/>
        <w:snapToGrid w:val="0"/>
        <w:spacing w:line="360" w:lineRule="auto"/>
        <w:jc w:val="center"/>
        <w:rPr>
          <w:rFonts w:hint="eastAsia" w:ascii="黑体" w:eastAsia="黑体" w:cs="黑体"/>
          <w:b/>
          <w:bCs/>
          <w:sz w:val="32"/>
          <w:szCs w:val="32"/>
          <w:highlight w:val="none"/>
        </w:rPr>
      </w:pPr>
    </w:p>
    <w:p>
      <w:pPr>
        <w:adjustRightInd w:val="0"/>
        <w:snapToGrid w:val="0"/>
        <w:spacing w:line="360" w:lineRule="auto"/>
        <w:jc w:val="center"/>
        <w:rPr>
          <w:rFonts w:hint="eastAsia" w:ascii="黑体" w:eastAsia="黑体" w:cs="黑体"/>
          <w:b/>
          <w:bCs/>
          <w:sz w:val="32"/>
          <w:szCs w:val="32"/>
          <w:highlight w:val="none"/>
        </w:rPr>
      </w:pPr>
    </w:p>
    <w:p>
      <w:pPr>
        <w:adjustRightInd w:val="0"/>
        <w:snapToGrid w:val="0"/>
        <w:spacing w:line="360" w:lineRule="auto"/>
        <w:jc w:val="center"/>
        <w:rPr>
          <w:rFonts w:hint="eastAsia" w:ascii="黑体" w:eastAsia="黑体" w:cs="黑体"/>
          <w:b/>
          <w:bCs/>
          <w:sz w:val="32"/>
          <w:szCs w:val="32"/>
          <w:highlight w:val="none"/>
        </w:rPr>
      </w:pPr>
    </w:p>
    <w:p>
      <w:pPr>
        <w:adjustRightInd w:val="0"/>
        <w:snapToGrid w:val="0"/>
        <w:spacing w:line="360" w:lineRule="auto"/>
        <w:jc w:val="center"/>
        <w:rPr>
          <w:rFonts w:hint="eastAsia" w:ascii="黑体" w:eastAsia="黑体" w:cs="黑体"/>
          <w:b/>
          <w:bCs/>
          <w:sz w:val="32"/>
          <w:szCs w:val="32"/>
          <w:highlight w:val="none"/>
        </w:rPr>
      </w:pPr>
    </w:p>
    <w:p>
      <w:pPr>
        <w:adjustRightInd w:val="0"/>
        <w:snapToGrid w:val="0"/>
        <w:spacing w:line="360" w:lineRule="auto"/>
        <w:jc w:val="center"/>
        <w:rPr>
          <w:rFonts w:hint="eastAsia" w:ascii="黑体" w:eastAsia="黑体" w:cs="黑体"/>
          <w:b/>
          <w:bCs/>
          <w:sz w:val="32"/>
          <w:szCs w:val="32"/>
          <w:highlight w:val="none"/>
        </w:rPr>
      </w:pPr>
    </w:p>
    <w:p>
      <w:pPr>
        <w:adjustRightInd w:val="0"/>
        <w:snapToGrid w:val="0"/>
        <w:spacing w:line="360" w:lineRule="auto"/>
        <w:jc w:val="center"/>
        <w:rPr>
          <w:rFonts w:hint="eastAsia" w:ascii="黑体" w:eastAsia="黑体" w:cs="黑体"/>
          <w:b/>
          <w:bCs/>
          <w:sz w:val="32"/>
          <w:szCs w:val="32"/>
          <w:highlight w:val="none"/>
        </w:rPr>
      </w:pPr>
    </w:p>
    <w:p>
      <w:pPr>
        <w:adjustRightInd w:val="0"/>
        <w:snapToGrid w:val="0"/>
        <w:spacing w:line="360" w:lineRule="auto"/>
        <w:jc w:val="center"/>
        <w:rPr>
          <w:rFonts w:hint="eastAsia" w:ascii="黑体" w:eastAsia="黑体" w:cs="黑体"/>
          <w:b/>
          <w:bCs/>
          <w:sz w:val="32"/>
          <w:szCs w:val="32"/>
          <w:highlight w:val="none"/>
        </w:rPr>
      </w:pPr>
    </w:p>
    <w:p>
      <w:pPr>
        <w:adjustRightInd w:val="0"/>
        <w:snapToGrid w:val="0"/>
        <w:spacing w:line="360" w:lineRule="auto"/>
        <w:jc w:val="center"/>
        <w:rPr>
          <w:rFonts w:hint="eastAsia" w:ascii="黑体" w:eastAsia="黑体" w:cs="黑体"/>
          <w:b/>
          <w:bCs/>
          <w:sz w:val="32"/>
          <w:szCs w:val="32"/>
          <w:highlight w:val="none"/>
        </w:rPr>
      </w:pPr>
    </w:p>
    <w:p>
      <w:pPr>
        <w:adjustRightInd w:val="0"/>
        <w:snapToGrid w:val="0"/>
        <w:spacing w:line="360" w:lineRule="auto"/>
        <w:jc w:val="center"/>
        <w:rPr>
          <w:rFonts w:hint="eastAsia" w:ascii="黑体" w:eastAsia="黑体" w:cs="黑体"/>
          <w:b/>
          <w:bCs/>
          <w:sz w:val="32"/>
          <w:szCs w:val="32"/>
          <w:highlight w:val="none"/>
        </w:rPr>
      </w:pPr>
    </w:p>
    <w:p>
      <w:pPr>
        <w:adjustRightInd w:val="0"/>
        <w:snapToGrid w:val="0"/>
        <w:spacing w:line="360" w:lineRule="auto"/>
        <w:jc w:val="center"/>
        <w:rPr>
          <w:rFonts w:hint="eastAsia" w:ascii="黑体" w:eastAsia="黑体" w:cs="黑体"/>
          <w:b/>
          <w:bCs/>
          <w:sz w:val="32"/>
          <w:szCs w:val="32"/>
          <w:highlight w:val="none"/>
        </w:rPr>
      </w:pPr>
    </w:p>
    <w:p>
      <w:pPr>
        <w:adjustRightInd w:val="0"/>
        <w:snapToGrid w:val="0"/>
        <w:spacing w:line="360" w:lineRule="auto"/>
        <w:jc w:val="center"/>
        <w:rPr>
          <w:rFonts w:hint="eastAsia" w:ascii="黑体" w:eastAsia="黑体" w:cs="黑体"/>
          <w:b/>
          <w:bCs/>
          <w:sz w:val="32"/>
          <w:szCs w:val="32"/>
          <w:highlight w:val="none"/>
        </w:rPr>
      </w:pPr>
    </w:p>
    <w:p>
      <w:pPr>
        <w:adjustRightInd w:val="0"/>
        <w:snapToGrid w:val="0"/>
        <w:spacing w:line="360" w:lineRule="auto"/>
        <w:jc w:val="center"/>
        <w:rPr>
          <w:rFonts w:hint="eastAsia" w:ascii="黑体" w:eastAsia="黑体" w:cs="黑体"/>
          <w:b/>
          <w:bCs/>
          <w:sz w:val="32"/>
          <w:szCs w:val="32"/>
          <w:highlight w:val="none"/>
        </w:rPr>
      </w:pPr>
    </w:p>
    <w:p>
      <w:pPr>
        <w:adjustRightInd w:val="0"/>
        <w:snapToGrid w:val="0"/>
        <w:spacing w:line="360" w:lineRule="auto"/>
        <w:jc w:val="center"/>
        <w:rPr>
          <w:rFonts w:hint="eastAsia" w:ascii="黑体" w:eastAsia="黑体" w:cs="黑体"/>
          <w:b/>
          <w:bCs/>
          <w:sz w:val="32"/>
          <w:szCs w:val="32"/>
          <w:highlight w:val="none"/>
        </w:rPr>
      </w:pPr>
    </w:p>
    <w:p>
      <w:pPr>
        <w:adjustRightInd w:val="0"/>
        <w:snapToGrid w:val="0"/>
        <w:spacing w:line="360" w:lineRule="auto"/>
        <w:jc w:val="center"/>
        <w:rPr>
          <w:rFonts w:hint="eastAsia" w:ascii="黑体" w:eastAsia="黑体" w:cs="黑体"/>
          <w:b/>
          <w:bCs/>
          <w:sz w:val="32"/>
          <w:szCs w:val="32"/>
          <w:highlight w:val="none"/>
        </w:rPr>
      </w:pPr>
    </w:p>
    <w:p>
      <w:pPr>
        <w:adjustRightInd w:val="0"/>
        <w:snapToGrid w:val="0"/>
        <w:spacing w:line="360" w:lineRule="auto"/>
        <w:jc w:val="center"/>
        <w:rPr>
          <w:rFonts w:hint="eastAsia" w:ascii="黑体" w:eastAsia="黑体" w:cs="黑体"/>
          <w:b/>
          <w:bCs/>
          <w:sz w:val="32"/>
          <w:szCs w:val="32"/>
          <w:highlight w:val="none"/>
        </w:rPr>
      </w:pPr>
    </w:p>
    <w:p>
      <w:pPr>
        <w:adjustRightInd w:val="0"/>
        <w:snapToGrid w:val="0"/>
        <w:spacing w:line="360" w:lineRule="auto"/>
        <w:jc w:val="center"/>
        <w:rPr>
          <w:rFonts w:ascii="黑体" w:eastAsia="黑体" w:cs="Times New Roman"/>
          <w:b/>
          <w:bCs/>
          <w:sz w:val="32"/>
          <w:szCs w:val="32"/>
          <w:highlight w:val="none"/>
        </w:rPr>
      </w:pPr>
      <w:r>
        <w:rPr>
          <w:rFonts w:hint="eastAsia" w:ascii="黑体" w:eastAsia="黑体" w:cs="黑体"/>
          <w:b/>
          <w:bCs/>
          <w:sz w:val="32"/>
          <w:szCs w:val="32"/>
          <w:highlight w:val="none"/>
        </w:rPr>
        <w:t>第五章 响应文件组成</w:t>
      </w:r>
    </w:p>
    <w:p>
      <w:pPr>
        <w:spacing w:line="360" w:lineRule="exact"/>
        <w:rPr>
          <w:rFonts w:ascii="宋体" w:cs="Times New Roman"/>
          <w:highlight w:val="none"/>
        </w:rPr>
      </w:pPr>
    </w:p>
    <w:p>
      <w:pPr>
        <w:spacing w:line="360" w:lineRule="auto"/>
        <w:rPr>
          <w:rFonts w:ascii="宋体" w:cs="Times New Roman"/>
          <w:highlight w:val="none"/>
        </w:rPr>
      </w:pPr>
      <w:r>
        <w:rPr>
          <w:rFonts w:hint="eastAsia" w:ascii="宋体" w:cs="宋体"/>
          <w:highlight w:val="none"/>
        </w:rPr>
        <w:t>供应商的响应文件应包含以下十一个部分：</w:t>
      </w:r>
    </w:p>
    <w:p>
      <w:pPr>
        <w:adjustRightInd w:val="0"/>
        <w:snapToGrid w:val="0"/>
        <w:spacing w:line="360" w:lineRule="auto"/>
        <w:jc w:val="left"/>
        <w:outlineLvl w:val="0"/>
        <w:rPr>
          <w:rFonts w:ascii="宋体" w:cs="Times New Roman"/>
          <w:b/>
          <w:bCs/>
          <w:highlight w:val="none"/>
        </w:rPr>
      </w:pPr>
      <w:r>
        <w:rPr>
          <w:rFonts w:hint="eastAsia" w:ascii="宋体" w:hAnsi="宋体" w:cs="宋体"/>
          <w:b/>
          <w:bCs/>
          <w:highlight w:val="none"/>
        </w:rPr>
        <w:t>一、磋商响应声明</w:t>
      </w:r>
    </w:p>
    <w:p>
      <w:pPr>
        <w:adjustRightInd w:val="0"/>
        <w:snapToGrid w:val="0"/>
        <w:spacing w:line="360" w:lineRule="auto"/>
        <w:ind w:firstLine="420" w:firstLineChars="200"/>
        <w:jc w:val="left"/>
        <w:outlineLvl w:val="0"/>
        <w:rPr>
          <w:rFonts w:ascii="宋体"/>
          <w:highlight w:val="none"/>
        </w:rPr>
      </w:pPr>
      <w:r>
        <w:rPr>
          <w:rFonts w:hint="eastAsia" w:ascii="宋体" w:hAnsi="宋体"/>
          <w:highlight w:val="none"/>
        </w:rPr>
        <w:t>附件</w:t>
      </w:r>
      <w:r>
        <w:rPr>
          <w:rFonts w:ascii="宋体" w:hAnsi="宋体"/>
          <w:highlight w:val="none"/>
        </w:rPr>
        <w:t>1</w:t>
      </w:r>
      <w:r>
        <w:rPr>
          <w:rFonts w:hint="eastAsia" w:ascii="宋体" w:hAnsi="宋体"/>
          <w:highlight w:val="none"/>
        </w:rPr>
        <w:t>：单位负责人身份证明</w:t>
      </w:r>
      <w:r>
        <w:rPr>
          <w:rFonts w:ascii="宋体" w:hAnsi="宋体"/>
          <w:highlight w:val="none"/>
        </w:rPr>
        <w:t>[</w:t>
      </w:r>
      <w:r>
        <w:rPr>
          <w:rFonts w:hint="eastAsia" w:ascii="宋体" w:hAnsi="宋体"/>
          <w:highlight w:val="none"/>
        </w:rPr>
        <w:t>负责人参加磋商</w:t>
      </w:r>
      <w:r>
        <w:rPr>
          <w:rFonts w:ascii="宋体" w:hAnsi="宋体"/>
          <w:highlight w:val="none"/>
        </w:rPr>
        <w:t>]</w:t>
      </w:r>
    </w:p>
    <w:p>
      <w:pPr>
        <w:adjustRightInd w:val="0"/>
        <w:snapToGrid w:val="0"/>
        <w:spacing w:line="360" w:lineRule="auto"/>
        <w:ind w:firstLine="420" w:firstLineChars="200"/>
        <w:jc w:val="left"/>
        <w:outlineLvl w:val="0"/>
        <w:rPr>
          <w:rFonts w:ascii="宋体" w:cs="Times New Roman"/>
          <w:highlight w:val="none"/>
        </w:rPr>
      </w:pPr>
      <w:r>
        <w:rPr>
          <w:rFonts w:hint="eastAsia" w:ascii="宋体" w:hAnsi="宋体"/>
          <w:highlight w:val="none"/>
        </w:rPr>
        <w:t>附件</w:t>
      </w:r>
      <w:r>
        <w:rPr>
          <w:rFonts w:ascii="宋体" w:hAnsi="宋体"/>
          <w:highlight w:val="none"/>
        </w:rPr>
        <w:t>2</w:t>
      </w:r>
      <w:r>
        <w:rPr>
          <w:rFonts w:hint="eastAsia" w:ascii="宋体" w:hAnsi="宋体"/>
          <w:highlight w:val="none"/>
        </w:rPr>
        <w:t>：单位负责人授权书</w:t>
      </w:r>
      <w:r>
        <w:rPr>
          <w:rFonts w:ascii="宋体" w:hAnsi="宋体"/>
          <w:highlight w:val="none"/>
        </w:rPr>
        <w:t>(</w:t>
      </w:r>
      <w:r>
        <w:rPr>
          <w:rFonts w:hint="eastAsia" w:ascii="宋体" w:hAnsi="宋体"/>
          <w:highlight w:val="none"/>
        </w:rPr>
        <w:t>委托代理人参加磋商</w:t>
      </w:r>
      <w:r>
        <w:rPr>
          <w:rFonts w:ascii="宋体" w:hAnsi="宋体"/>
          <w:highlight w:val="none"/>
        </w:rPr>
        <w:t>)</w:t>
      </w:r>
    </w:p>
    <w:p>
      <w:pPr>
        <w:adjustRightInd w:val="0"/>
        <w:snapToGrid w:val="0"/>
        <w:spacing w:line="360" w:lineRule="auto"/>
        <w:jc w:val="left"/>
        <w:outlineLvl w:val="0"/>
        <w:rPr>
          <w:rFonts w:ascii="宋体" w:cs="Times New Roman"/>
          <w:b/>
          <w:bCs/>
          <w:highlight w:val="none"/>
        </w:rPr>
      </w:pPr>
      <w:r>
        <w:rPr>
          <w:rFonts w:hint="eastAsia" w:ascii="宋体" w:hAnsi="宋体" w:cs="宋体"/>
          <w:b/>
          <w:bCs/>
          <w:highlight w:val="none"/>
        </w:rPr>
        <w:t>二、保证金</w:t>
      </w:r>
    </w:p>
    <w:p>
      <w:pPr>
        <w:adjustRightInd w:val="0"/>
        <w:snapToGrid w:val="0"/>
        <w:spacing w:line="360" w:lineRule="auto"/>
        <w:jc w:val="left"/>
        <w:outlineLvl w:val="0"/>
        <w:rPr>
          <w:rFonts w:ascii="宋体" w:cs="Times New Roman"/>
          <w:b/>
          <w:bCs/>
          <w:highlight w:val="none"/>
        </w:rPr>
      </w:pPr>
      <w:r>
        <w:rPr>
          <w:rFonts w:hint="eastAsia" w:ascii="宋体" w:hAnsi="宋体" w:cs="宋体"/>
          <w:b/>
          <w:bCs/>
          <w:highlight w:val="none"/>
        </w:rPr>
        <w:t>三、联合体协议</w:t>
      </w:r>
      <w:r>
        <w:rPr>
          <w:rFonts w:ascii="宋体" w:hAnsi="宋体" w:cs="宋体"/>
          <w:b/>
          <w:bCs/>
          <w:highlight w:val="none"/>
        </w:rPr>
        <w:t>(</w:t>
      </w:r>
      <w:r>
        <w:rPr>
          <w:rFonts w:hint="eastAsia" w:ascii="宋体" w:hAnsi="宋体" w:cs="宋体"/>
          <w:b/>
          <w:bCs/>
          <w:highlight w:val="none"/>
        </w:rPr>
        <w:t>格式</w:t>
      </w:r>
      <w:r>
        <w:rPr>
          <w:rFonts w:ascii="宋体" w:hAnsi="宋体" w:cs="宋体"/>
          <w:b/>
          <w:bCs/>
          <w:highlight w:val="none"/>
        </w:rPr>
        <w:t>)</w:t>
      </w:r>
    </w:p>
    <w:p>
      <w:pPr>
        <w:adjustRightInd w:val="0"/>
        <w:snapToGrid w:val="0"/>
        <w:spacing w:line="360" w:lineRule="auto"/>
        <w:jc w:val="left"/>
        <w:outlineLvl w:val="0"/>
        <w:rPr>
          <w:rFonts w:ascii="宋体" w:cs="Times New Roman"/>
          <w:b/>
          <w:bCs/>
          <w:highlight w:val="none"/>
        </w:rPr>
      </w:pPr>
      <w:r>
        <w:rPr>
          <w:rFonts w:hint="eastAsia" w:ascii="宋体" w:hAnsi="宋体" w:cs="宋体"/>
          <w:b/>
          <w:bCs/>
          <w:highlight w:val="none"/>
        </w:rPr>
        <w:t>四、供应商的资格证明资料</w:t>
      </w:r>
    </w:p>
    <w:p>
      <w:pPr>
        <w:adjustRightInd w:val="0"/>
        <w:snapToGrid w:val="0"/>
        <w:spacing w:line="360" w:lineRule="auto"/>
        <w:ind w:firstLine="420" w:firstLineChars="200"/>
        <w:jc w:val="left"/>
        <w:outlineLvl w:val="0"/>
        <w:rPr>
          <w:rFonts w:ascii="宋体" w:cs="Times New Roman"/>
          <w:highlight w:val="none"/>
        </w:rPr>
      </w:pPr>
      <w:r>
        <w:rPr>
          <w:rFonts w:hint="eastAsia" w:ascii="宋体" w:hAnsi="宋体" w:cs="宋体"/>
          <w:highlight w:val="none"/>
        </w:rPr>
        <w:t>附件</w:t>
      </w:r>
      <w:r>
        <w:rPr>
          <w:rFonts w:ascii="宋体" w:hAnsi="宋体" w:cs="宋体"/>
          <w:highlight w:val="none"/>
        </w:rPr>
        <w:t>3</w:t>
      </w:r>
      <w:r>
        <w:rPr>
          <w:rFonts w:hint="eastAsia" w:ascii="宋体" w:hAnsi="宋体" w:cs="宋体"/>
          <w:highlight w:val="none"/>
        </w:rPr>
        <w:t>：供应商基本情况表</w:t>
      </w:r>
    </w:p>
    <w:p>
      <w:pPr>
        <w:adjustRightInd w:val="0"/>
        <w:snapToGrid w:val="0"/>
        <w:spacing w:line="360" w:lineRule="auto"/>
        <w:ind w:firstLine="420" w:firstLineChars="200"/>
        <w:outlineLvl w:val="0"/>
        <w:rPr>
          <w:rFonts w:ascii="宋体" w:cs="Times New Roman"/>
          <w:highlight w:val="none"/>
        </w:rPr>
      </w:pPr>
      <w:r>
        <w:rPr>
          <w:rFonts w:hint="eastAsia" w:ascii="宋体" w:hAnsi="宋体" w:cs="宋体"/>
          <w:highlight w:val="none"/>
        </w:rPr>
        <w:t>附件</w:t>
      </w:r>
      <w:r>
        <w:rPr>
          <w:rFonts w:ascii="宋体" w:hAnsi="宋体" w:cs="宋体"/>
          <w:highlight w:val="none"/>
        </w:rPr>
        <w:t>4</w:t>
      </w:r>
      <w:r>
        <w:rPr>
          <w:rFonts w:hint="eastAsia" w:ascii="宋体" w:hAnsi="宋体" w:cs="宋体"/>
          <w:highlight w:val="none"/>
        </w:rPr>
        <w:t>：磋商文件规定的基本资格条件证明资料</w:t>
      </w:r>
    </w:p>
    <w:p>
      <w:pPr>
        <w:adjustRightInd w:val="0"/>
        <w:snapToGrid w:val="0"/>
        <w:spacing w:line="360" w:lineRule="auto"/>
        <w:ind w:firstLine="420" w:firstLineChars="200"/>
        <w:outlineLvl w:val="0"/>
        <w:rPr>
          <w:rFonts w:ascii="宋体" w:cs="Times New Roman"/>
          <w:highlight w:val="none"/>
        </w:rPr>
      </w:pPr>
      <w:r>
        <w:rPr>
          <w:rFonts w:hint="eastAsia" w:ascii="宋体" w:hAnsi="宋体" w:cs="宋体"/>
          <w:highlight w:val="none"/>
        </w:rPr>
        <w:t>附件</w:t>
      </w:r>
      <w:r>
        <w:rPr>
          <w:rFonts w:ascii="宋体" w:hAnsi="宋体" w:cs="宋体"/>
          <w:highlight w:val="none"/>
        </w:rPr>
        <w:t>5</w:t>
      </w:r>
      <w:r>
        <w:rPr>
          <w:rFonts w:hint="eastAsia" w:ascii="宋体" w:hAnsi="宋体" w:cs="宋体"/>
          <w:highlight w:val="none"/>
        </w:rPr>
        <w:t>：磋商文件规定的特定资格条件证明资料</w:t>
      </w:r>
    </w:p>
    <w:p>
      <w:pPr>
        <w:pStyle w:val="11"/>
        <w:adjustRightInd w:val="0"/>
        <w:snapToGrid w:val="0"/>
        <w:spacing w:line="360" w:lineRule="auto"/>
        <w:rPr>
          <w:rFonts w:hAnsi="宋体" w:cs="Times New Roman"/>
          <w:b/>
          <w:bCs/>
          <w:highlight w:val="none"/>
        </w:rPr>
      </w:pPr>
      <w:r>
        <w:rPr>
          <w:rFonts w:hint="eastAsia" w:hAnsi="宋体"/>
          <w:b/>
          <w:bCs/>
          <w:highlight w:val="none"/>
        </w:rPr>
        <w:t>五、货物或服务方案说明</w:t>
      </w:r>
    </w:p>
    <w:p>
      <w:pPr>
        <w:pStyle w:val="11"/>
        <w:adjustRightInd w:val="0"/>
        <w:snapToGrid w:val="0"/>
        <w:spacing w:line="360" w:lineRule="auto"/>
        <w:ind w:firstLine="435"/>
        <w:rPr>
          <w:rFonts w:hAnsi="宋体" w:cs="Times New Roman"/>
          <w:highlight w:val="none"/>
        </w:rPr>
      </w:pPr>
      <w:r>
        <w:rPr>
          <w:rFonts w:hint="eastAsia" w:hAnsi="宋体"/>
          <w:highlight w:val="none"/>
        </w:rPr>
        <w:t>附件</w:t>
      </w:r>
      <w:r>
        <w:rPr>
          <w:rFonts w:hAnsi="宋体"/>
          <w:highlight w:val="none"/>
        </w:rPr>
        <w:t>6-1</w:t>
      </w:r>
      <w:r>
        <w:rPr>
          <w:rFonts w:hint="eastAsia" w:hAnsi="宋体"/>
          <w:highlight w:val="none"/>
        </w:rPr>
        <w:t>：服务方案说明（服务类适用）</w:t>
      </w:r>
    </w:p>
    <w:p>
      <w:pPr>
        <w:pStyle w:val="11"/>
        <w:adjustRightInd w:val="0"/>
        <w:snapToGrid w:val="0"/>
        <w:spacing w:line="360" w:lineRule="auto"/>
        <w:ind w:firstLine="435"/>
        <w:rPr>
          <w:rFonts w:hAnsi="宋体" w:cs="Times New Roman"/>
          <w:b/>
          <w:bCs/>
          <w:highlight w:val="none"/>
        </w:rPr>
      </w:pPr>
      <w:r>
        <w:rPr>
          <w:rFonts w:hint="eastAsia" w:hAnsi="宋体"/>
          <w:highlight w:val="none"/>
        </w:rPr>
        <w:t>附件</w:t>
      </w:r>
      <w:r>
        <w:rPr>
          <w:rFonts w:hAnsi="宋体"/>
          <w:highlight w:val="none"/>
        </w:rPr>
        <w:t>6-2</w:t>
      </w:r>
      <w:r>
        <w:rPr>
          <w:rFonts w:hint="eastAsia" w:hAnsi="宋体"/>
          <w:highlight w:val="none"/>
        </w:rPr>
        <w:t>：主要人员简历表（服务类适用）</w:t>
      </w:r>
    </w:p>
    <w:p>
      <w:pPr>
        <w:adjustRightInd w:val="0"/>
        <w:snapToGrid w:val="0"/>
        <w:spacing w:line="360" w:lineRule="auto"/>
        <w:rPr>
          <w:rFonts w:hAnsi="宋体" w:cs="Times New Roman"/>
          <w:b/>
          <w:bCs/>
          <w:highlight w:val="none"/>
        </w:rPr>
      </w:pPr>
      <w:r>
        <w:rPr>
          <w:rFonts w:hint="eastAsia" w:hAnsi="宋体" w:cs="宋体"/>
          <w:b/>
          <w:bCs/>
          <w:highlight w:val="none"/>
        </w:rPr>
        <w:t>六、采购需求/合同条款偏离表</w:t>
      </w:r>
    </w:p>
    <w:p>
      <w:pPr>
        <w:pStyle w:val="11"/>
        <w:adjustRightInd w:val="0"/>
        <w:snapToGrid w:val="0"/>
        <w:spacing w:line="360" w:lineRule="auto"/>
        <w:rPr>
          <w:rFonts w:hAnsi="宋体" w:cs="Times New Roman"/>
          <w:b/>
          <w:bCs/>
          <w:highlight w:val="none"/>
        </w:rPr>
      </w:pPr>
      <w:r>
        <w:rPr>
          <w:rFonts w:hint="eastAsia" w:hAnsi="宋体"/>
          <w:b/>
          <w:bCs/>
          <w:highlight w:val="none"/>
        </w:rPr>
        <w:t>七、提供享受政府采购政策的证明资料和清单表</w:t>
      </w:r>
    </w:p>
    <w:p>
      <w:pPr>
        <w:pStyle w:val="11"/>
        <w:adjustRightInd w:val="0"/>
        <w:snapToGrid w:val="0"/>
        <w:spacing w:line="360" w:lineRule="auto"/>
        <w:ind w:firstLine="420" w:firstLineChars="200"/>
        <w:rPr>
          <w:rFonts w:hAnsi="宋体" w:cs="Times New Roman"/>
          <w:highlight w:val="none"/>
        </w:rPr>
      </w:pPr>
      <w:r>
        <w:rPr>
          <w:rFonts w:hint="eastAsia" w:hAnsi="宋体"/>
          <w:highlight w:val="none"/>
        </w:rPr>
        <w:t>附件</w:t>
      </w:r>
      <w:r>
        <w:rPr>
          <w:rFonts w:hAnsi="宋体"/>
          <w:highlight w:val="none"/>
        </w:rPr>
        <w:t>7</w:t>
      </w:r>
      <w:r>
        <w:rPr>
          <w:rFonts w:hint="eastAsia" w:hAnsi="宋体"/>
          <w:highlight w:val="none"/>
        </w:rPr>
        <w:t>：中小企业声明函</w:t>
      </w:r>
    </w:p>
    <w:p>
      <w:pPr>
        <w:pStyle w:val="11"/>
        <w:adjustRightInd w:val="0"/>
        <w:snapToGrid w:val="0"/>
        <w:spacing w:line="360" w:lineRule="auto"/>
        <w:rPr>
          <w:rFonts w:hAnsi="宋体" w:cs="Times New Roman"/>
          <w:b/>
          <w:bCs/>
          <w:highlight w:val="none"/>
        </w:rPr>
      </w:pPr>
      <w:r>
        <w:rPr>
          <w:rFonts w:hint="eastAsia" w:hAnsi="宋体"/>
          <w:b/>
          <w:bCs/>
          <w:highlight w:val="none"/>
        </w:rPr>
        <w:t>八、经销或代理货物，或为货物提供售后服务的证明材料</w:t>
      </w:r>
    </w:p>
    <w:p>
      <w:pPr>
        <w:pStyle w:val="11"/>
        <w:adjustRightInd w:val="0"/>
        <w:snapToGrid w:val="0"/>
        <w:spacing w:line="360" w:lineRule="auto"/>
        <w:rPr>
          <w:rFonts w:hAnsi="宋体" w:cs="Times New Roman"/>
          <w:b/>
          <w:bCs/>
          <w:highlight w:val="none"/>
        </w:rPr>
      </w:pPr>
      <w:r>
        <w:rPr>
          <w:rFonts w:hint="eastAsia" w:hAnsi="宋体"/>
          <w:b/>
          <w:bCs/>
          <w:highlight w:val="none"/>
        </w:rPr>
        <w:t>九、报价一览表及分项价格表</w:t>
      </w:r>
    </w:p>
    <w:p>
      <w:pPr>
        <w:adjustRightInd w:val="0"/>
        <w:snapToGrid w:val="0"/>
        <w:spacing w:line="360" w:lineRule="auto"/>
        <w:ind w:firstLine="420" w:firstLineChars="200"/>
        <w:jc w:val="left"/>
        <w:outlineLvl w:val="0"/>
        <w:rPr>
          <w:rFonts w:ascii="宋体" w:cs="宋体"/>
          <w:highlight w:val="none"/>
        </w:rPr>
      </w:pPr>
      <w:r>
        <w:rPr>
          <w:rFonts w:hint="eastAsia" w:ascii="宋体" w:hAnsi="宋体" w:cs="宋体"/>
          <w:highlight w:val="none"/>
        </w:rPr>
        <w:t>附件</w:t>
      </w:r>
      <w:r>
        <w:rPr>
          <w:rFonts w:ascii="宋体" w:hAnsi="宋体" w:cs="宋体"/>
          <w:highlight w:val="none"/>
        </w:rPr>
        <w:t>8-1</w:t>
      </w:r>
      <w:r>
        <w:rPr>
          <w:rFonts w:hint="eastAsia" w:ascii="宋体" w:hAnsi="宋体" w:cs="宋体"/>
          <w:highlight w:val="none"/>
        </w:rPr>
        <w:t>：报价一览表</w:t>
      </w:r>
    </w:p>
    <w:p>
      <w:pPr>
        <w:pStyle w:val="2"/>
        <w:rPr>
          <w:rFonts w:ascii="宋体" w:cs="宋体"/>
          <w:kern w:val="2"/>
          <w:highlight w:val="none"/>
        </w:rPr>
      </w:pPr>
      <w:r>
        <w:rPr>
          <w:rFonts w:hint="eastAsia"/>
          <w:highlight w:val="none"/>
        </w:rPr>
        <w:t>附</w:t>
      </w:r>
      <w:r>
        <w:rPr>
          <w:rFonts w:hint="eastAsia" w:ascii="宋体" w:hAnsi="宋体" w:cs="宋体"/>
          <w:kern w:val="2"/>
          <w:highlight w:val="none"/>
        </w:rPr>
        <w:t>件</w:t>
      </w:r>
      <w:r>
        <w:rPr>
          <w:rFonts w:ascii="宋体" w:hAnsi="宋体" w:cs="宋体"/>
          <w:kern w:val="2"/>
          <w:highlight w:val="none"/>
        </w:rPr>
        <w:t xml:space="preserve">8-2 </w:t>
      </w:r>
      <w:r>
        <w:rPr>
          <w:rFonts w:hint="eastAsia" w:ascii="宋体" w:hAnsi="宋体" w:cs="宋体"/>
          <w:kern w:val="2"/>
          <w:highlight w:val="none"/>
        </w:rPr>
        <w:t>：分项报价表</w:t>
      </w:r>
    </w:p>
    <w:p>
      <w:pPr>
        <w:pStyle w:val="11"/>
        <w:adjustRightInd w:val="0"/>
        <w:snapToGrid w:val="0"/>
        <w:spacing w:line="360" w:lineRule="auto"/>
        <w:rPr>
          <w:rFonts w:hAnsi="宋体" w:cs="Times New Roman"/>
          <w:b/>
          <w:bCs/>
          <w:highlight w:val="none"/>
        </w:rPr>
      </w:pPr>
      <w:r>
        <w:rPr>
          <w:rFonts w:hint="eastAsia" w:hAnsi="宋体"/>
          <w:b/>
          <w:bCs/>
          <w:highlight w:val="none"/>
        </w:rPr>
        <w:t>十、供应商认为需提供的其它资料</w:t>
      </w:r>
    </w:p>
    <w:p>
      <w:pPr>
        <w:pStyle w:val="11"/>
        <w:adjustRightInd w:val="0"/>
        <w:snapToGrid w:val="0"/>
        <w:spacing w:line="360" w:lineRule="auto"/>
        <w:rPr>
          <w:rFonts w:hAnsi="宋体"/>
          <w:b/>
          <w:bCs/>
          <w:highlight w:val="none"/>
        </w:rPr>
      </w:pPr>
      <w:r>
        <w:rPr>
          <w:rFonts w:hint="eastAsia" w:hAnsi="宋体"/>
          <w:b/>
          <w:bCs/>
          <w:highlight w:val="none"/>
        </w:rPr>
        <w:t>十一、最后报价</w:t>
      </w:r>
    </w:p>
    <w:p>
      <w:pPr>
        <w:pStyle w:val="11"/>
        <w:adjustRightInd w:val="0"/>
        <w:snapToGrid w:val="0"/>
        <w:spacing w:line="360" w:lineRule="auto"/>
        <w:rPr>
          <w:rFonts w:hAnsi="宋体"/>
          <w:b/>
          <w:bCs/>
          <w:highlight w:val="none"/>
        </w:rPr>
      </w:pPr>
    </w:p>
    <w:p>
      <w:pPr>
        <w:pStyle w:val="11"/>
        <w:adjustRightInd w:val="0"/>
        <w:snapToGrid w:val="0"/>
        <w:spacing w:line="360" w:lineRule="auto"/>
        <w:rPr>
          <w:rFonts w:hAnsi="宋体"/>
          <w:b/>
          <w:bCs/>
          <w:highlight w:val="none"/>
        </w:rPr>
      </w:pPr>
    </w:p>
    <w:p>
      <w:pPr>
        <w:pStyle w:val="11"/>
        <w:adjustRightInd w:val="0"/>
        <w:snapToGrid w:val="0"/>
        <w:spacing w:line="360" w:lineRule="auto"/>
        <w:rPr>
          <w:rFonts w:hAnsi="宋体"/>
          <w:b/>
          <w:bCs/>
          <w:highlight w:val="none"/>
        </w:rPr>
      </w:pPr>
    </w:p>
    <w:p>
      <w:pPr>
        <w:pStyle w:val="11"/>
        <w:adjustRightInd w:val="0"/>
        <w:snapToGrid w:val="0"/>
        <w:spacing w:line="360" w:lineRule="auto"/>
        <w:rPr>
          <w:rFonts w:hAnsi="宋体"/>
          <w:b/>
          <w:bCs/>
          <w:highlight w:val="none"/>
        </w:rPr>
      </w:pPr>
    </w:p>
    <w:p>
      <w:pPr>
        <w:pStyle w:val="11"/>
        <w:adjustRightInd w:val="0"/>
        <w:snapToGrid w:val="0"/>
        <w:spacing w:line="360" w:lineRule="auto"/>
        <w:rPr>
          <w:rFonts w:hAnsi="宋体"/>
          <w:b/>
          <w:bCs/>
          <w:highlight w:val="none"/>
        </w:rPr>
      </w:pPr>
    </w:p>
    <w:p>
      <w:pPr>
        <w:pStyle w:val="11"/>
        <w:adjustRightInd w:val="0"/>
        <w:snapToGrid w:val="0"/>
        <w:spacing w:line="360" w:lineRule="auto"/>
        <w:rPr>
          <w:rFonts w:hAnsi="宋体"/>
          <w:b/>
          <w:bCs/>
          <w:highlight w:val="none"/>
        </w:rPr>
      </w:pPr>
    </w:p>
    <w:p>
      <w:pPr>
        <w:pStyle w:val="11"/>
        <w:adjustRightInd w:val="0"/>
        <w:snapToGrid w:val="0"/>
        <w:spacing w:line="360" w:lineRule="auto"/>
        <w:rPr>
          <w:rFonts w:hAnsi="宋体"/>
          <w:b/>
          <w:bCs/>
          <w:highlight w:val="none"/>
        </w:rPr>
      </w:pPr>
    </w:p>
    <w:p>
      <w:pPr>
        <w:pStyle w:val="11"/>
        <w:adjustRightInd w:val="0"/>
        <w:snapToGrid w:val="0"/>
        <w:spacing w:line="360" w:lineRule="auto"/>
        <w:rPr>
          <w:rFonts w:hAnsi="宋体"/>
          <w:b/>
          <w:bCs/>
          <w:highlight w:val="none"/>
        </w:rPr>
      </w:pPr>
    </w:p>
    <w:p>
      <w:pPr>
        <w:pStyle w:val="11"/>
        <w:adjustRightInd w:val="0"/>
        <w:snapToGrid w:val="0"/>
        <w:spacing w:line="360" w:lineRule="auto"/>
        <w:rPr>
          <w:rFonts w:hAnsi="宋体"/>
          <w:b/>
          <w:bCs/>
          <w:highlight w:val="none"/>
        </w:rPr>
      </w:pPr>
    </w:p>
    <w:p>
      <w:pPr>
        <w:pStyle w:val="11"/>
        <w:adjustRightInd w:val="0"/>
        <w:snapToGrid w:val="0"/>
        <w:spacing w:line="360" w:lineRule="auto"/>
        <w:rPr>
          <w:rFonts w:hAnsi="宋体" w:cs="Times New Roman"/>
          <w:b/>
          <w:bCs/>
          <w:highlight w:val="none"/>
        </w:rPr>
      </w:pPr>
    </w:p>
    <w:p>
      <w:pPr>
        <w:spacing w:line="360" w:lineRule="exact"/>
        <w:jc w:val="center"/>
        <w:rPr>
          <w:rFonts w:ascii="黑体" w:eastAsia="黑体" w:cs="Times New Roman"/>
          <w:b/>
          <w:bCs/>
          <w:sz w:val="32"/>
          <w:szCs w:val="32"/>
          <w:highlight w:val="none"/>
        </w:rPr>
      </w:pPr>
      <w:r>
        <w:rPr>
          <w:rFonts w:hint="eastAsia" w:ascii="黑体" w:eastAsia="黑体" w:cs="黑体"/>
          <w:b/>
          <w:bCs/>
          <w:sz w:val="32"/>
          <w:szCs w:val="32"/>
          <w:highlight w:val="none"/>
        </w:rPr>
        <w:t>一、</w:t>
      </w:r>
      <w:r>
        <w:rPr>
          <w:rFonts w:hint="eastAsia" w:ascii="黑体" w:hAnsi="宋体" w:eastAsia="黑体" w:cs="黑体"/>
          <w:b/>
          <w:bCs/>
          <w:sz w:val="32"/>
          <w:szCs w:val="32"/>
          <w:highlight w:val="none"/>
        </w:rPr>
        <w:t>磋商响应声明</w:t>
      </w:r>
    </w:p>
    <w:p>
      <w:pPr>
        <w:adjustRightInd w:val="0"/>
        <w:snapToGrid w:val="0"/>
        <w:spacing w:line="360" w:lineRule="auto"/>
        <w:rPr>
          <w:rFonts w:ascii="仿宋_GB2312" w:hAnsi="宋体" w:eastAsia="Times New Roman" w:cs="Times New Roman"/>
          <w:sz w:val="24"/>
          <w:szCs w:val="24"/>
          <w:highlight w:val="none"/>
        </w:rPr>
      </w:pPr>
    </w:p>
    <w:p>
      <w:pPr>
        <w:adjustRightInd w:val="0"/>
        <w:snapToGrid w:val="0"/>
        <w:spacing w:line="360" w:lineRule="auto"/>
        <w:rPr>
          <w:rFonts w:ascii="宋体" w:cs="Times New Roman"/>
          <w:highlight w:val="none"/>
        </w:rPr>
      </w:pPr>
      <w:r>
        <w:rPr>
          <w:rFonts w:hint="eastAsia" w:ascii="宋体" w:hAnsi="宋体" w:cs="宋体"/>
          <w:highlight w:val="none"/>
        </w:rPr>
        <w:t>致</w:t>
      </w:r>
      <w:r>
        <w:rPr>
          <w:rFonts w:ascii="宋体" w:hAnsi="宋体" w:cs="宋体"/>
          <w:highlight w:val="none"/>
        </w:rPr>
        <w:t xml:space="preserve"> (</w:t>
      </w:r>
      <w:r>
        <w:rPr>
          <w:rFonts w:hint="eastAsia" w:ascii="宋体" w:hAnsi="宋体" w:cs="宋体"/>
          <w:highlight w:val="none"/>
        </w:rPr>
        <w:t>采购人或采购代理机构</w:t>
      </w:r>
      <w:r>
        <w:rPr>
          <w:rFonts w:ascii="宋体" w:hAnsi="宋体" w:cs="宋体"/>
          <w:highlight w:val="none"/>
        </w:rPr>
        <w:t>)</w:t>
      </w:r>
      <w:r>
        <w:rPr>
          <w:rFonts w:hint="eastAsia" w:ascii="宋体" w:hAnsi="宋体" w:cs="宋体"/>
          <w:highlight w:val="none"/>
        </w:rPr>
        <w:t>：</w:t>
      </w:r>
    </w:p>
    <w:p>
      <w:pPr>
        <w:adjustRightInd w:val="0"/>
        <w:snapToGrid w:val="0"/>
        <w:spacing w:line="360" w:lineRule="auto"/>
        <w:ind w:firstLine="420" w:firstLineChars="200"/>
        <w:rPr>
          <w:rFonts w:ascii="宋体" w:cs="Times New Roman"/>
          <w:highlight w:val="none"/>
        </w:rPr>
      </w:pPr>
      <w:r>
        <w:rPr>
          <w:rFonts w:hint="eastAsia" w:ascii="宋体" w:hAnsi="宋体" w:cs="宋体"/>
          <w:highlight w:val="none"/>
        </w:rPr>
        <w:t>我方已仔细研究了</w:t>
      </w:r>
      <w:r>
        <w:rPr>
          <w:rFonts w:ascii="宋体" w:hAnsi="宋体" w:cs="宋体"/>
          <w:highlight w:val="none"/>
          <w:u w:val="single"/>
        </w:rPr>
        <w:t xml:space="preserve">                 (</w:t>
      </w:r>
      <w:r>
        <w:rPr>
          <w:rFonts w:hint="eastAsia" w:ascii="宋体" w:hAnsi="宋体" w:cs="宋体"/>
          <w:highlight w:val="none"/>
        </w:rPr>
        <w:t>项目名称</w:t>
      </w:r>
      <w:r>
        <w:rPr>
          <w:rFonts w:ascii="宋体" w:hAnsi="宋体" w:cs="宋体"/>
          <w:highlight w:val="none"/>
        </w:rPr>
        <w:t>)</w:t>
      </w:r>
      <w:r>
        <w:rPr>
          <w:rFonts w:hint="eastAsia" w:ascii="宋体" w:hAnsi="宋体" w:cs="宋体"/>
          <w:highlight w:val="none"/>
        </w:rPr>
        <w:t>的竞争性磋商文件（政府采购编号：；采购代理编号：）的全部内容，</w:t>
      </w:r>
      <w:r>
        <w:rPr>
          <w:rFonts w:hint="eastAsia" w:hAnsi="宋体" w:cs="宋体"/>
          <w:highlight w:val="none"/>
        </w:rPr>
        <w:t>知悉参加竞争性磋商的风险，我方承诺接受磋商文件的全部条款且无任何异议。</w:t>
      </w:r>
    </w:p>
    <w:p>
      <w:pPr>
        <w:pStyle w:val="11"/>
        <w:adjustRightInd w:val="0"/>
        <w:snapToGrid w:val="0"/>
        <w:spacing w:line="360" w:lineRule="auto"/>
        <w:ind w:firstLine="420" w:firstLineChars="200"/>
        <w:rPr>
          <w:rFonts w:hAnsi="宋体" w:cs="Times New Roman"/>
          <w:highlight w:val="none"/>
        </w:rPr>
      </w:pPr>
      <w:r>
        <w:rPr>
          <w:rFonts w:hint="eastAsia" w:hAnsi="宋体"/>
          <w:highlight w:val="none"/>
        </w:rPr>
        <w:t>一、我方同意在磋商文件中规定的提交首次响应文件截止时间起</w:t>
      </w:r>
      <w:r>
        <w:rPr>
          <w:rFonts w:hint="eastAsia" w:hAnsi="宋体"/>
          <w:highlight w:val="none"/>
          <w:u w:val="single"/>
        </w:rPr>
        <w:t xml:space="preserve">     </w:t>
      </w:r>
      <w:r>
        <w:rPr>
          <w:rFonts w:hint="eastAsia" w:hAnsi="宋体"/>
          <w:highlight w:val="none"/>
        </w:rPr>
        <w:t>日内</w:t>
      </w:r>
      <w:r>
        <w:rPr>
          <w:rFonts w:hAnsi="宋体"/>
          <w:highlight w:val="none"/>
        </w:rPr>
        <w:t>(</w:t>
      </w:r>
      <w:r>
        <w:rPr>
          <w:rFonts w:hint="eastAsia" w:hAnsi="宋体"/>
          <w:highlight w:val="none"/>
        </w:rPr>
        <w:t>响应文件有效期</w:t>
      </w:r>
      <w:r>
        <w:rPr>
          <w:rFonts w:hAnsi="宋体"/>
          <w:highlight w:val="none"/>
        </w:rPr>
        <w:t>)</w:t>
      </w:r>
      <w:r>
        <w:rPr>
          <w:rFonts w:hint="eastAsia" w:hAnsi="宋体"/>
          <w:highlight w:val="none"/>
        </w:rPr>
        <w:t>遵守本响应文件中的承诺且在此期限期满之前均具有法律约束力。</w:t>
      </w:r>
    </w:p>
    <w:p>
      <w:pPr>
        <w:pStyle w:val="11"/>
        <w:adjustRightInd w:val="0"/>
        <w:snapToGrid w:val="0"/>
        <w:spacing w:line="360" w:lineRule="auto"/>
        <w:ind w:firstLine="420" w:firstLineChars="200"/>
        <w:rPr>
          <w:rFonts w:hAnsi="宋体" w:cs="Times New Roman"/>
          <w:highlight w:val="none"/>
        </w:rPr>
      </w:pPr>
      <w:r>
        <w:rPr>
          <w:rFonts w:hint="eastAsia" w:hAnsi="宋体"/>
          <w:highlight w:val="none"/>
        </w:rPr>
        <w:t>二、我方提交响应文件正本一份和副本两份，并保证响应文件提供的数据和资料全部内容真实、合法、准确和完整，我们对此负责，并愿承担由此引起的法律责任。</w:t>
      </w:r>
    </w:p>
    <w:p>
      <w:pPr>
        <w:pStyle w:val="11"/>
        <w:adjustRightInd w:val="0"/>
        <w:snapToGrid w:val="0"/>
        <w:spacing w:line="360" w:lineRule="auto"/>
        <w:ind w:firstLine="420" w:firstLineChars="200"/>
        <w:rPr>
          <w:rFonts w:hAnsi="宋体" w:cs="Times New Roman"/>
          <w:highlight w:val="none"/>
        </w:rPr>
      </w:pPr>
      <w:r>
        <w:rPr>
          <w:rFonts w:hint="eastAsia" w:hAnsi="宋体"/>
          <w:highlight w:val="none"/>
        </w:rPr>
        <w:t>三、我方愿意向贵方提供任何与本项采购有关的数据、情况和技术资料。若贵方需要，我方愿意提供我方作出的一切承诺的证明资料。</w:t>
      </w:r>
    </w:p>
    <w:p>
      <w:pPr>
        <w:pStyle w:val="11"/>
        <w:adjustRightInd w:val="0"/>
        <w:snapToGrid w:val="0"/>
        <w:spacing w:line="360" w:lineRule="auto"/>
        <w:ind w:firstLine="420" w:firstLineChars="200"/>
        <w:rPr>
          <w:rFonts w:hAnsi="宋体" w:cs="Times New Roman"/>
          <w:highlight w:val="none"/>
        </w:rPr>
      </w:pPr>
      <w:r>
        <w:rPr>
          <w:rFonts w:hint="eastAsia" w:hAnsi="宋体"/>
          <w:highlight w:val="none"/>
        </w:rPr>
        <w:t>四、我方愿意按磋商文件规定和磋商小组要求重新提交响应文件和最后报价。</w:t>
      </w:r>
    </w:p>
    <w:p>
      <w:pPr>
        <w:pStyle w:val="11"/>
        <w:adjustRightInd w:val="0"/>
        <w:snapToGrid w:val="0"/>
        <w:spacing w:line="360" w:lineRule="auto"/>
        <w:ind w:firstLine="420" w:firstLineChars="200"/>
        <w:rPr>
          <w:rFonts w:hAnsi="宋体" w:cs="Times New Roman"/>
          <w:highlight w:val="none"/>
        </w:rPr>
      </w:pPr>
      <w:r>
        <w:rPr>
          <w:rFonts w:hint="eastAsia" w:hAnsi="宋体"/>
          <w:highlight w:val="none"/>
        </w:rPr>
        <w:t>五、我方承诺遵守《中华人民共和国政府采购法》的有关规定，保证在获得成交资格后，按照磋商文件确定的事项签订采购合同，履行双方所签订的合同，并承担合同规定的责任和义务。</w:t>
      </w:r>
    </w:p>
    <w:p>
      <w:pPr>
        <w:pStyle w:val="11"/>
        <w:adjustRightInd w:val="0"/>
        <w:snapToGrid w:val="0"/>
        <w:spacing w:line="360" w:lineRule="auto"/>
        <w:ind w:firstLine="420" w:firstLineChars="200"/>
        <w:rPr>
          <w:rFonts w:hAnsi="宋体"/>
          <w:highlight w:val="none"/>
        </w:rPr>
      </w:pPr>
      <w:r>
        <w:rPr>
          <w:rFonts w:hint="eastAsia" w:hAnsi="宋体"/>
          <w:highlight w:val="none"/>
        </w:rPr>
        <w:t>六、我方在此声明：</w:t>
      </w:r>
    </w:p>
    <w:p>
      <w:pPr>
        <w:pStyle w:val="11"/>
        <w:adjustRightInd w:val="0"/>
        <w:snapToGrid w:val="0"/>
        <w:spacing w:line="360" w:lineRule="auto"/>
        <w:ind w:firstLine="420" w:firstLineChars="200"/>
        <w:rPr>
          <w:rFonts w:hAnsi="宋体" w:cs="Times New Roman"/>
          <w:highlight w:val="none"/>
        </w:rPr>
      </w:pPr>
      <w:r>
        <w:rPr>
          <w:rFonts w:hint="eastAsia" w:hAnsi="宋体"/>
          <w:highlight w:val="none"/>
        </w:rPr>
        <w:t>（一）我方与采购人或采购代理机构不存在隶属关系或者其他利害关系。</w:t>
      </w:r>
    </w:p>
    <w:p>
      <w:pPr>
        <w:pStyle w:val="11"/>
        <w:adjustRightInd w:val="0"/>
        <w:snapToGrid w:val="0"/>
        <w:spacing w:line="360" w:lineRule="auto"/>
        <w:ind w:firstLine="420" w:firstLineChars="200"/>
        <w:rPr>
          <w:rFonts w:hAnsi="宋体" w:cs="Times New Roman"/>
          <w:highlight w:val="none"/>
        </w:rPr>
      </w:pPr>
      <w:r>
        <w:rPr>
          <w:rFonts w:hint="eastAsia" w:hAnsi="宋体"/>
          <w:highlight w:val="none"/>
        </w:rPr>
        <w:t>（二）我方与参加本项目的其他供应商不存在直接控股、管理关系，或者与其他供应商法定代表人（或者负责人）为同一人。</w:t>
      </w:r>
    </w:p>
    <w:p>
      <w:pPr>
        <w:pStyle w:val="11"/>
        <w:adjustRightInd w:val="0"/>
        <w:snapToGrid w:val="0"/>
        <w:spacing w:line="360" w:lineRule="auto"/>
        <w:ind w:firstLine="420" w:firstLineChars="200"/>
        <w:rPr>
          <w:rFonts w:hAnsi="宋体" w:cs="Times New Roman"/>
          <w:highlight w:val="none"/>
        </w:rPr>
      </w:pPr>
      <w:r>
        <w:rPr>
          <w:rFonts w:hint="eastAsia" w:hAnsi="宋体"/>
          <w:highlight w:val="none"/>
        </w:rPr>
        <w:t>（三）我方未为本项目前期准备提供设计或咨询服务。</w:t>
      </w:r>
    </w:p>
    <w:p>
      <w:pPr>
        <w:pStyle w:val="11"/>
        <w:adjustRightInd w:val="0"/>
        <w:snapToGrid w:val="0"/>
        <w:spacing w:line="360" w:lineRule="auto"/>
        <w:ind w:firstLine="420" w:firstLineChars="200"/>
        <w:rPr>
          <w:rFonts w:hAnsi="宋体" w:cs="Times New Roman"/>
          <w:highlight w:val="none"/>
        </w:rPr>
      </w:pPr>
      <w:r>
        <w:rPr>
          <w:rFonts w:hint="eastAsia" w:hAnsi="宋体"/>
          <w:highlight w:val="none"/>
        </w:rPr>
        <w:t>（四）我方承诺（承诺期：成立三年以上的，为提交首次响应文件截止时间前三年内；成立不足三年的，为实际时间）：</w:t>
      </w:r>
    </w:p>
    <w:p>
      <w:pPr>
        <w:pStyle w:val="11"/>
        <w:adjustRightInd w:val="0"/>
        <w:snapToGrid w:val="0"/>
        <w:spacing w:line="360" w:lineRule="auto"/>
        <w:ind w:firstLine="420" w:firstLineChars="200"/>
        <w:rPr>
          <w:rFonts w:hAnsi="宋体" w:cs="Times New Roman"/>
          <w:highlight w:val="none"/>
        </w:rPr>
      </w:pPr>
      <w:r>
        <w:rPr>
          <w:rFonts w:hAnsi="宋体"/>
          <w:highlight w:val="none"/>
        </w:rPr>
        <w:t>1</w:t>
      </w:r>
      <w:r>
        <w:rPr>
          <w:rFonts w:hint="eastAsia" w:hAnsi="宋体"/>
          <w:highlight w:val="none"/>
        </w:rPr>
        <w:t>、我方依法缴纳了各项税费及各项社会保障资金，没有偷税、漏税及欠缴行为。</w:t>
      </w:r>
    </w:p>
    <w:p>
      <w:pPr>
        <w:pStyle w:val="11"/>
        <w:adjustRightInd w:val="0"/>
        <w:snapToGrid w:val="0"/>
        <w:spacing w:line="360" w:lineRule="auto"/>
        <w:ind w:firstLine="420" w:firstLineChars="200"/>
        <w:rPr>
          <w:rFonts w:hAnsi="宋体" w:cs="Times New Roman"/>
          <w:highlight w:val="none"/>
        </w:rPr>
      </w:pPr>
      <w:r>
        <w:rPr>
          <w:rFonts w:hAnsi="宋体"/>
          <w:highlight w:val="none"/>
        </w:rPr>
        <w:t>2</w:t>
      </w:r>
      <w:r>
        <w:rPr>
          <w:rFonts w:hint="eastAsia" w:hAnsi="宋体"/>
          <w:highlight w:val="none"/>
        </w:rPr>
        <w:t>、我方在经营活动中没有存在下列重大违法记录：</w:t>
      </w:r>
    </w:p>
    <w:p>
      <w:pPr>
        <w:pStyle w:val="11"/>
        <w:adjustRightInd w:val="0"/>
        <w:snapToGrid w:val="0"/>
        <w:spacing w:line="360" w:lineRule="auto"/>
        <w:ind w:firstLine="420" w:firstLineChars="200"/>
        <w:rPr>
          <w:rFonts w:hAnsi="宋体" w:cs="Times New Roman"/>
          <w:highlight w:val="none"/>
        </w:rPr>
      </w:pPr>
      <w:r>
        <w:rPr>
          <w:rFonts w:hAnsi="宋体"/>
          <w:highlight w:val="none"/>
        </w:rPr>
        <w:t>(1)</w:t>
      </w:r>
      <w:r>
        <w:rPr>
          <w:rFonts w:hint="eastAsia" w:hAnsi="宋体"/>
          <w:highlight w:val="none"/>
        </w:rPr>
        <w:t>受到刑事处罚；</w:t>
      </w:r>
    </w:p>
    <w:p>
      <w:pPr>
        <w:pStyle w:val="11"/>
        <w:adjustRightInd w:val="0"/>
        <w:snapToGrid w:val="0"/>
        <w:spacing w:line="360" w:lineRule="auto"/>
        <w:ind w:firstLine="420" w:firstLineChars="200"/>
        <w:rPr>
          <w:rFonts w:hAnsi="宋体" w:cs="Times New Roman"/>
          <w:highlight w:val="none"/>
        </w:rPr>
      </w:pPr>
      <w:r>
        <w:rPr>
          <w:rFonts w:hAnsi="宋体"/>
          <w:highlight w:val="none"/>
        </w:rPr>
        <w:t>(2)</w:t>
      </w:r>
      <w:r>
        <w:rPr>
          <w:rFonts w:hint="eastAsia" w:hAnsi="宋体"/>
          <w:highlight w:val="none"/>
        </w:rPr>
        <w:t>受到三万元以上的罚款、责令停产停业、在一至三年内禁止参加政府采购活动、暂扣或者吊销许可证、暂扣或者吊销执照的行政处罚。</w:t>
      </w:r>
    </w:p>
    <w:p>
      <w:pPr>
        <w:adjustRightInd w:val="0"/>
        <w:snapToGrid w:val="0"/>
        <w:spacing w:line="360" w:lineRule="auto"/>
        <w:ind w:right="24"/>
        <w:rPr>
          <w:rFonts w:ascii="宋体" w:cs="Times New Roman"/>
          <w:highlight w:val="none"/>
        </w:rPr>
      </w:pPr>
      <w:r>
        <w:rPr>
          <w:rFonts w:hint="eastAsia" w:ascii="宋体" w:hAnsi="宋体" w:cs="宋体"/>
          <w:highlight w:val="none"/>
        </w:rPr>
        <w:t>附件</w:t>
      </w:r>
      <w:r>
        <w:rPr>
          <w:rFonts w:ascii="宋体" w:hAnsi="宋体" w:cs="宋体"/>
          <w:highlight w:val="none"/>
        </w:rPr>
        <w:t>1</w:t>
      </w:r>
      <w:r>
        <w:rPr>
          <w:rFonts w:hint="eastAsia" w:ascii="宋体" w:hAnsi="宋体" w:cs="宋体"/>
          <w:highlight w:val="none"/>
        </w:rPr>
        <w:t>：单位负责人身份证明</w:t>
      </w:r>
    </w:p>
    <w:p>
      <w:pPr>
        <w:adjustRightInd w:val="0"/>
        <w:snapToGrid w:val="0"/>
        <w:spacing w:line="360" w:lineRule="auto"/>
        <w:ind w:right="24"/>
        <w:rPr>
          <w:rFonts w:ascii="宋体" w:cs="Times New Roman"/>
          <w:highlight w:val="none"/>
        </w:rPr>
      </w:pPr>
      <w:r>
        <w:rPr>
          <w:rFonts w:hint="eastAsia" w:ascii="宋体" w:hAnsi="宋体" w:cs="宋体"/>
          <w:highlight w:val="none"/>
        </w:rPr>
        <w:t>附件</w:t>
      </w:r>
      <w:r>
        <w:rPr>
          <w:rFonts w:ascii="宋体" w:hAnsi="宋体" w:cs="宋体"/>
          <w:highlight w:val="none"/>
        </w:rPr>
        <w:t>2</w:t>
      </w:r>
      <w:r>
        <w:rPr>
          <w:rFonts w:hint="eastAsia" w:ascii="宋体" w:hAnsi="宋体" w:cs="宋体"/>
          <w:highlight w:val="none"/>
        </w:rPr>
        <w:t>：单位负责人授权书</w:t>
      </w:r>
    </w:p>
    <w:p>
      <w:pPr>
        <w:pStyle w:val="11"/>
        <w:adjustRightInd w:val="0"/>
        <w:snapToGrid w:val="0"/>
        <w:spacing w:line="360" w:lineRule="auto"/>
        <w:rPr>
          <w:rFonts w:hAnsi="宋体" w:cs="Times New Roman"/>
          <w:highlight w:val="none"/>
        </w:rPr>
      </w:pPr>
    </w:p>
    <w:p>
      <w:pPr>
        <w:pStyle w:val="11"/>
        <w:adjustRightInd w:val="0"/>
        <w:snapToGrid w:val="0"/>
        <w:spacing w:line="360" w:lineRule="auto"/>
        <w:rPr>
          <w:rFonts w:hAnsi="宋体"/>
          <w:highlight w:val="none"/>
        </w:rPr>
      </w:pPr>
      <w:r>
        <w:rPr>
          <w:rFonts w:hint="eastAsia" w:hAnsi="宋体"/>
          <w:highlight w:val="none"/>
        </w:rPr>
        <w:t>供应商名称</w:t>
      </w:r>
      <w:r>
        <w:rPr>
          <w:rFonts w:hAnsi="宋体"/>
          <w:highlight w:val="none"/>
        </w:rPr>
        <w:t>(</w:t>
      </w:r>
      <w:r>
        <w:rPr>
          <w:rFonts w:hint="eastAsia" w:hAnsi="宋体"/>
          <w:highlight w:val="none"/>
        </w:rPr>
        <w:t>盖单位章</w:t>
      </w:r>
      <w:r>
        <w:rPr>
          <w:rFonts w:hAnsi="宋体"/>
          <w:highlight w:val="none"/>
        </w:rPr>
        <w:t>)</w:t>
      </w:r>
      <w:r>
        <w:rPr>
          <w:rFonts w:hint="eastAsia" w:hAnsi="宋体"/>
          <w:highlight w:val="none"/>
        </w:rPr>
        <w:t>：</w:t>
      </w:r>
    </w:p>
    <w:p>
      <w:pPr>
        <w:adjustRightInd w:val="0"/>
        <w:snapToGrid w:val="0"/>
        <w:spacing w:line="360" w:lineRule="auto"/>
        <w:rPr>
          <w:rFonts w:ascii="宋体"/>
          <w:highlight w:val="none"/>
        </w:rPr>
      </w:pPr>
      <w:r>
        <w:rPr>
          <w:rFonts w:hint="eastAsia" w:ascii="宋体" w:hAnsi="宋体"/>
          <w:highlight w:val="none"/>
        </w:rPr>
        <w:t>负责人或其委托代理人</w:t>
      </w:r>
      <w:r>
        <w:rPr>
          <w:rFonts w:ascii="宋体" w:hAnsi="宋体"/>
          <w:highlight w:val="none"/>
        </w:rPr>
        <w:t xml:space="preserve"> (</w:t>
      </w:r>
      <w:r>
        <w:rPr>
          <w:rFonts w:hint="eastAsia" w:ascii="宋体" w:hAnsi="宋体"/>
          <w:highlight w:val="none"/>
        </w:rPr>
        <w:t>签字</w:t>
      </w:r>
      <w:r>
        <w:rPr>
          <w:rFonts w:ascii="宋体" w:hAnsi="宋体"/>
          <w:highlight w:val="none"/>
        </w:rPr>
        <w:t>)</w:t>
      </w:r>
      <w:r>
        <w:rPr>
          <w:rFonts w:hint="eastAsia" w:ascii="宋体" w:hAnsi="宋体"/>
          <w:highlight w:val="none"/>
        </w:rPr>
        <w:t>：</w:t>
      </w:r>
    </w:p>
    <w:p>
      <w:pPr>
        <w:adjustRightInd w:val="0"/>
        <w:snapToGrid w:val="0"/>
        <w:spacing w:line="360" w:lineRule="auto"/>
        <w:ind w:right="24"/>
        <w:rPr>
          <w:rFonts w:ascii="宋体" w:hAnsi="宋体"/>
          <w:highlight w:val="none"/>
        </w:rPr>
      </w:pPr>
      <w:r>
        <w:rPr>
          <w:rFonts w:hint="eastAsia" w:ascii="宋体" w:hAnsi="宋体"/>
          <w:highlight w:val="none"/>
        </w:rPr>
        <w:t>日期：</w:t>
      </w:r>
      <w:r>
        <w:rPr>
          <w:rFonts w:ascii="宋体" w:hAnsi="宋体"/>
          <w:highlight w:val="none"/>
        </w:rPr>
        <w:t xml:space="preserve">   </w:t>
      </w:r>
      <w:r>
        <w:rPr>
          <w:rFonts w:hint="eastAsia" w:ascii="宋体" w:hAnsi="宋体"/>
          <w:highlight w:val="none"/>
        </w:rPr>
        <w:t>年</w:t>
      </w:r>
      <w:r>
        <w:rPr>
          <w:rFonts w:ascii="宋体" w:hAnsi="宋体"/>
          <w:highlight w:val="none"/>
        </w:rPr>
        <w:t xml:space="preserve">  </w:t>
      </w:r>
      <w:r>
        <w:rPr>
          <w:rFonts w:hint="eastAsia" w:ascii="宋体" w:hAnsi="宋体"/>
          <w:highlight w:val="none"/>
        </w:rPr>
        <w:t>月</w:t>
      </w:r>
      <w:r>
        <w:rPr>
          <w:rFonts w:ascii="宋体" w:hAnsi="宋体"/>
          <w:highlight w:val="none"/>
        </w:rPr>
        <w:t xml:space="preserve">   </w:t>
      </w:r>
      <w:r>
        <w:rPr>
          <w:rFonts w:hint="eastAsia" w:ascii="宋体" w:hAnsi="宋体"/>
          <w:highlight w:val="none"/>
        </w:rPr>
        <w:t>日</w:t>
      </w:r>
    </w:p>
    <w:p>
      <w:pPr>
        <w:pStyle w:val="2"/>
        <w:rPr>
          <w:highlight w:val="none"/>
        </w:rPr>
      </w:pPr>
      <w:r>
        <w:rPr>
          <w:highlight w:val="none"/>
        </w:rPr>
        <w:br w:type="page"/>
      </w:r>
    </w:p>
    <w:p>
      <w:pPr>
        <w:adjustRightInd w:val="0"/>
        <w:snapToGrid w:val="0"/>
        <w:spacing w:line="360" w:lineRule="auto"/>
        <w:ind w:right="24"/>
        <w:rPr>
          <w:highlight w:val="none"/>
        </w:rPr>
      </w:pPr>
    </w:p>
    <w:p>
      <w:pPr>
        <w:adjustRightInd w:val="0"/>
        <w:snapToGrid w:val="0"/>
        <w:spacing w:line="360" w:lineRule="auto"/>
        <w:ind w:right="24"/>
        <w:jc w:val="center"/>
        <w:rPr>
          <w:rFonts w:ascii="黑体" w:hAnsi="华文中宋" w:eastAsia="黑体"/>
          <w:b/>
          <w:sz w:val="28"/>
          <w:szCs w:val="28"/>
          <w:highlight w:val="none"/>
        </w:rPr>
      </w:pPr>
      <w:r>
        <w:rPr>
          <w:rFonts w:hint="eastAsia" w:ascii="黑体" w:hAnsi="华文中宋" w:eastAsia="黑体"/>
          <w:b/>
          <w:sz w:val="28"/>
          <w:szCs w:val="28"/>
          <w:highlight w:val="none"/>
        </w:rPr>
        <w:t>单位负责人身份证明（单位负责人参加投标）</w:t>
      </w:r>
    </w:p>
    <w:p>
      <w:pPr>
        <w:adjustRightInd w:val="0"/>
        <w:snapToGrid w:val="0"/>
        <w:spacing w:line="360" w:lineRule="auto"/>
        <w:ind w:right="24"/>
        <w:jc w:val="center"/>
        <w:rPr>
          <w:rFonts w:ascii="黑体" w:hAnsi="华文中宋" w:eastAsia="黑体"/>
          <w:b/>
          <w:sz w:val="28"/>
          <w:szCs w:val="28"/>
          <w:highlight w:val="none"/>
        </w:rPr>
      </w:pPr>
    </w:p>
    <w:p>
      <w:pPr>
        <w:autoSpaceDE w:val="0"/>
        <w:autoSpaceDN w:val="0"/>
        <w:adjustRightInd w:val="0"/>
        <w:snapToGrid w:val="0"/>
        <w:spacing w:before="156" w:beforeLines="50" w:line="360" w:lineRule="auto"/>
        <w:jc w:val="left"/>
        <w:rPr>
          <w:rFonts w:ascii="宋体" w:cs="宋体"/>
          <w:kern w:val="0"/>
          <w:highlight w:val="none"/>
        </w:rPr>
      </w:pPr>
      <w:r>
        <w:rPr>
          <w:rFonts w:hint="eastAsia" w:ascii="宋体" w:hAnsi="宋体"/>
          <w:highlight w:val="none"/>
        </w:rPr>
        <w:t>供应商</w:t>
      </w:r>
      <w:r>
        <w:rPr>
          <w:rFonts w:hint="eastAsia" w:ascii="宋体" w:hAnsi="宋体" w:cs="宋体"/>
          <w:kern w:val="0"/>
          <w:highlight w:val="none"/>
        </w:rPr>
        <w:t>名称：</w:t>
      </w:r>
    </w:p>
    <w:p>
      <w:pPr>
        <w:autoSpaceDE w:val="0"/>
        <w:autoSpaceDN w:val="0"/>
        <w:adjustRightInd w:val="0"/>
        <w:snapToGrid w:val="0"/>
        <w:spacing w:before="156" w:beforeLines="50" w:line="360" w:lineRule="auto"/>
        <w:jc w:val="left"/>
        <w:rPr>
          <w:rFonts w:ascii="宋体" w:cs="宋体"/>
          <w:kern w:val="0"/>
          <w:highlight w:val="none"/>
        </w:rPr>
      </w:pPr>
      <w:r>
        <w:rPr>
          <w:rFonts w:hint="eastAsia" w:ascii="宋体" w:hAnsi="宋体" w:cs="宋体"/>
          <w:kern w:val="0"/>
          <w:highlight w:val="none"/>
        </w:rPr>
        <w:t>注册号：</w:t>
      </w:r>
    </w:p>
    <w:p>
      <w:pPr>
        <w:autoSpaceDE w:val="0"/>
        <w:autoSpaceDN w:val="0"/>
        <w:adjustRightInd w:val="0"/>
        <w:snapToGrid w:val="0"/>
        <w:spacing w:before="156" w:beforeLines="50" w:line="360" w:lineRule="auto"/>
        <w:jc w:val="left"/>
        <w:rPr>
          <w:rFonts w:ascii="宋体" w:cs="宋体"/>
          <w:kern w:val="0"/>
          <w:highlight w:val="none"/>
        </w:rPr>
      </w:pPr>
      <w:r>
        <w:rPr>
          <w:rFonts w:hint="eastAsia" w:ascii="宋体" w:hAnsi="宋体" w:cs="宋体"/>
          <w:kern w:val="0"/>
          <w:highlight w:val="none"/>
        </w:rPr>
        <w:t>注册地址：</w:t>
      </w:r>
    </w:p>
    <w:p>
      <w:pPr>
        <w:autoSpaceDE w:val="0"/>
        <w:autoSpaceDN w:val="0"/>
        <w:adjustRightInd w:val="0"/>
        <w:snapToGrid w:val="0"/>
        <w:spacing w:before="156" w:beforeLines="50" w:line="360" w:lineRule="auto"/>
        <w:jc w:val="left"/>
        <w:rPr>
          <w:rFonts w:ascii="宋体" w:cs="宋体"/>
          <w:kern w:val="0"/>
          <w:highlight w:val="none"/>
        </w:rPr>
      </w:pPr>
      <w:r>
        <w:rPr>
          <w:rFonts w:hint="eastAsia" w:ascii="宋体" w:hAnsi="宋体" w:cs="宋体"/>
          <w:kern w:val="0"/>
          <w:highlight w:val="none"/>
        </w:rPr>
        <w:t>成立时间：</w:t>
      </w:r>
      <w:r>
        <w:rPr>
          <w:rFonts w:ascii="宋体" w:hAnsi="宋体" w:cs="宋体"/>
          <w:kern w:val="0"/>
          <w:highlight w:val="none"/>
        </w:rPr>
        <w:t xml:space="preserve"> </w:t>
      </w:r>
      <w:r>
        <w:rPr>
          <w:rFonts w:hint="eastAsia" w:ascii="宋体" w:hAnsi="宋体" w:cs="宋体"/>
          <w:kern w:val="0"/>
          <w:highlight w:val="none"/>
        </w:rPr>
        <w:t>年</w:t>
      </w:r>
      <w:r>
        <w:rPr>
          <w:rFonts w:ascii="宋体" w:hAnsi="宋体" w:cs="宋体"/>
          <w:kern w:val="0"/>
          <w:highlight w:val="none"/>
        </w:rPr>
        <w:t xml:space="preserve"> </w:t>
      </w:r>
      <w:r>
        <w:rPr>
          <w:rFonts w:hint="eastAsia" w:ascii="宋体" w:hAnsi="宋体" w:cs="宋体"/>
          <w:kern w:val="0"/>
          <w:highlight w:val="none"/>
        </w:rPr>
        <w:t>月</w:t>
      </w:r>
      <w:r>
        <w:rPr>
          <w:rFonts w:ascii="宋体" w:hAnsi="宋体" w:cs="宋体"/>
          <w:kern w:val="0"/>
          <w:highlight w:val="none"/>
        </w:rPr>
        <w:t xml:space="preserve"> </w:t>
      </w:r>
      <w:r>
        <w:rPr>
          <w:rFonts w:hint="eastAsia" w:ascii="宋体" w:hAnsi="宋体" w:cs="宋体"/>
          <w:kern w:val="0"/>
          <w:highlight w:val="none"/>
        </w:rPr>
        <w:t>日</w:t>
      </w:r>
    </w:p>
    <w:p>
      <w:pPr>
        <w:autoSpaceDE w:val="0"/>
        <w:autoSpaceDN w:val="0"/>
        <w:adjustRightInd w:val="0"/>
        <w:snapToGrid w:val="0"/>
        <w:spacing w:before="156" w:beforeLines="50" w:line="360" w:lineRule="auto"/>
        <w:jc w:val="left"/>
        <w:rPr>
          <w:rFonts w:ascii="宋体" w:cs="宋体"/>
          <w:kern w:val="0"/>
          <w:highlight w:val="none"/>
          <w:u w:val="single"/>
        </w:rPr>
      </w:pPr>
      <w:r>
        <w:rPr>
          <w:rFonts w:hint="eastAsia" w:ascii="宋体" w:hAnsi="宋体" w:cs="宋体"/>
          <w:kern w:val="0"/>
          <w:highlight w:val="none"/>
        </w:rPr>
        <w:t>经营期限：</w:t>
      </w:r>
    </w:p>
    <w:p>
      <w:pPr>
        <w:autoSpaceDE w:val="0"/>
        <w:autoSpaceDN w:val="0"/>
        <w:adjustRightInd w:val="0"/>
        <w:snapToGrid w:val="0"/>
        <w:spacing w:before="156" w:beforeLines="50" w:line="360" w:lineRule="auto"/>
        <w:jc w:val="left"/>
        <w:rPr>
          <w:rFonts w:ascii="宋体" w:cs="宋体"/>
          <w:kern w:val="0"/>
          <w:highlight w:val="none"/>
          <w:u w:val="single"/>
        </w:rPr>
      </w:pPr>
      <w:r>
        <w:rPr>
          <w:rFonts w:hint="eastAsia" w:ascii="宋体" w:hAnsi="宋体" w:cs="宋体"/>
          <w:kern w:val="0"/>
          <w:highlight w:val="none"/>
        </w:rPr>
        <w:t>经营范围：</w:t>
      </w:r>
      <w:r>
        <w:rPr>
          <w:rFonts w:ascii="宋体" w:hAnsi="宋体" w:cs="宋体"/>
          <w:kern w:val="0"/>
          <w:highlight w:val="none"/>
        </w:rPr>
        <w:t xml:space="preserve"> </w:t>
      </w:r>
      <w:r>
        <w:rPr>
          <w:rFonts w:hint="eastAsia" w:ascii="宋体" w:hAnsi="宋体" w:cs="宋体"/>
          <w:kern w:val="0"/>
          <w:highlight w:val="none"/>
        </w:rPr>
        <w:t>主营：</w:t>
      </w:r>
      <w:r>
        <w:rPr>
          <w:rFonts w:ascii="宋体" w:hAnsi="宋体" w:cs="宋体"/>
          <w:kern w:val="0"/>
          <w:highlight w:val="none"/>
        </w:rPr>
        <w:t xml:space="preserve">                  </w:t>
      </w:r>
      <w:r>
        <w:rPr>
          <w:rFonts w:hint="eastAsia" w:ascii="宋体" w:hAnsi="宋体" w:cs="宋体"/>
          <w:kern w:val="0"/>
          <w:highlight w:val="none"/>
        </w:rPr>
        <w:t>；</w:t>
      </w:r>
      <w:r>
        <w:rPr>
          <w:rFonts w:ascii="宋体" w:hAnsi="宋体" w:cs="宋体"/>
          <w:kern w:val="0"/>
          <w:highlight w:val="none"/>
        </w:rPr>
        <w:t xml:space="preserve"> </w:t>
      </w:r>
      <w:r>
        <w:rPr>
          <w:rFonts w:hint="eastAsia" w:ascii="宋体" w:hAnsi="宋体" w:cs="宋体"/>
          <w:kern w:val="0"/>
          <w:highlight w:val="none"/>
        </w:rPr>
        <w:t>兼营：</w:t>
      </w:r>
    </w:p>
    <w:p>
      <w:pPr>
        <w:autoSpaceDE w:val="0"/>
        <w:autoSpaceDN w:val="0"/>
        <w:adjustRightInd w:val="0"/>
        <w:snapToGrid w:val="0"/>
        <w:spacing w:before="156" w:beforeLines="50" w:line="360" w:lineRule="auto"/>
        <w:jc w:val="left"/>
        <w:rPr>
          <w:rFonts w:ascii="宋体" w:cs="宋体"/>
          <w:kern w:val="0"/>
          <w:highlight w:val="none"/>
        </w:rPr>
      </w:pPr>
      <w:r>
        <w:rPr>
          <w:rFonts w:hint="eastAsia" w:ascii="宋体" w:hAnsi="宋体" w:cs="宋体"/>
          <w:kern w:val="0"/>
          <w:highlight w:val="none"/>
        </w:rPr>
        <w:t>姓名：</w:t>
      </w:r>
      <w:r>
        <w:rPr>
          <w:rFonts w:ascii="宋体" w:hAnsi="宋体" w:cs="宋体"/>
          <w:kern w:val="0"/>
          <w:highlight w:val="none"/>
        </w:rPr>
        <w:t xml:space="preserve">        </w:t>
      </w:r>
      <w:r>
        <w:rPr>
          <w:rFonts w:hint="eastAsia" w:ascii="宋体" w:hAnsi="宋体" w:cs="宋体"/>
          <w:kern w:val="0"/>
          <w:highlight w:val="none"/>
        </w:rPr>
        <w:t>性别：</w:t>
      </w:r>
      <w:r>
        <w:rPr>
          <w:rFonts w:ascii="宋体" w:hAnsi="宋体" w:cs="宋体"/>
          <w:kern w:val="0"/>
          <w:highlight w:val="none"/>
        </w:rPr>
        <w:t xml:space="preserve">      </w:t>
      </w:r>
      <w:r>
        <w:rPr>
          <w:rFonts w:hint="eastAsia" w:ascii="宋体" w:hAnsi="宋体" w:cs="宋体"/>
          <w:kern w:val="0"/>
          <w:highlight w:val="none"/>
        </w:rPr>
        <w:t>年龄：</w:t>
      </w:r>
      <w:r>
        <w:rPr>
          <w:rFonts w:ascii="宋体" w:hAnsi="宋体" w:cs="宋体"/>
          <w:kern w:val="0"/>
          <w:highlight w:val="none"/>
        </w:rPr>
        <w:t xml:space="preserve">    </w:t>
      </w:r>
      <w:r>
        <w:rPr>
          <w:rFonts w:hint="eastAsia" w:ascii="宋体" w:hAnsi="宋体" w:cs="宋体"/>
          <w:kern w:val="0"/>
          <w:highlight w:val="none"/>
        </w:rPr>
        <w:t>系</w:t>
      </w:r>
      <w:r>
        <w:rPr>
          <w:rFonts w:ascii="宋体" w:hAnsi="宋体" w:cs="宋体"/>
          <w:kern w:val="0"/>
          <w:highlight w:val="none"/>
        </w:rPr>
        <w:t xml:space="preserve">                     </w:t>
      </w:r>
      <w:r>
        <w:rPr>
          <w:rFonts w:hint="eastAsia" w:ascii="宋体" w:hAnsi="宋体" w:cs="宋体"/>
          <w:kern w:val="0"/>
          <w:highlight w:val="none"/>
        </w:rPr>
        <w:t>（</w:t>
      </w:r>
      <w:r>
        <w:rPr>
          <w:rFonts w:hint="eastAsia" w:ascii="宋体" w:hAnsi="宋体"/>
          <w:highlight w:val="none"/>
        </w:rPr>
        <w:t>供应商</w:t>
      </w:r>
      <w:r>
        <w:rPr>
          <w:rFonts w:hint="eastAsia" w:ascii="宋体" w:hAnsi="宋体" w:cs="宋体"/>
          <w:kern w:val="0"/>
          <w:highlight w:val="none"/>
        </w:rPr>
        <w:t>名称）的负责人。</w:t>
      </w:r>
    </w:p>
    <w:p>
      <w:pPr>
        <w:autoSpaceDE w:val="0"/>
        <w:autoSpaceDN w:val="0"/>
        <w:adjustRightInd w:val="0"/>
        <w:snapToGrid w:val="0"/>
        <w:spacing w:before="156" w:beforeLines="50" w:line="360" w:lineRule="auto"/>
        <w:jc w:val="left"/>
        <w:rPr>
          <w:rFonts w:ascii="宋体" w:cs="宋体"/>
          <w:kern w:val="0"/>
          <w:highlight w:val="none"/>
        </w:rPr>
      </w:pPr>
      <w:r>
        <w:rPr>
          <w:rFonts w:hint="eastAsia" w:ascii="宋体" w:hAnsi="宋体" w:cs="宋体"/>
          <w:kern w:val="0"/>
          <w:highlight w:val="none"/>
        </w:rPr>
        <w:t>特此证明。</w:t>
      </w:r>
    </w:p>
    <w:p>
      <w:pPr>
        <w:autoSpaceDE w:val="0"/>
        <w:autoSpaceDN w:val="0"/>
        <w:adjustRightInd w:val="0"/>
        <w:snapToGrid w:val="0"/>
        <w:spacing w:before="156" w:beforeLines="50" w:line="360" w:lineRule="auto"/>
        <w:jc w:val="left"/>
        <w:rPr>
          <w:rFonts w:ascii="宋体" w:cs="宋体"/>
          <w:kern w:val="0"/>
          <w:highlight w:val="none"/>
        </w:rPr>
      </w:pPr>
      <w:r>
        <w:rPr>
          <w:rFonts w:hint="eastAsia" w:ascii="宋体" w:hAnsi="宋体"/>
          <w:highlight w:val="none"/>
        </w:rPr>
        <w:t>附：负责人身份证复印件</w:t>
      </w:r>
    </w:p>
    <w:p>
      <w:pPr>
        <w:snapToGrid w:val="0"/>
        <w:spacing w:line="480" w:lineRule="auto"/>
        <w:rPr>
          <w:rFonts w:ascii="宋体"/>
          <w:highlight w:val="none"/>
        </w:rPr>
      </w:pPr>
    </w:p>
    <w:p>
      <w:pPr>
        <w:snapToGrid w:val="0"/>
        <w:rPr>
          <w:rFonts w:ascii="宋体"/>
          <w:highlight w:val="none"/>
        </w:rPr>
      </w:pPr>
    </w:p>
    <w:p>
      <w:pPr>
        <w:snapToGrid w:val="0"/>
        <w:rPr>
          <w:rFonts w:ascii="宋体"/>
          <w:highlight w:val="none"/>
        </w:rPr>
      </w:pPr>
    </w:p>
    <w:p>
      <w:pPr>
        <w:snapToGrid w:val="0"/>
        <w:rPr>
          <w:rFonts w:ascii="宋体"/>
          <w:highlight w:val="none"/>
        </w:rPr>
      </w:pPr>
    </w:p>
    <w:p>
      <w:pPr>
        <w:snapToGrid w:val="0"/>
        <w:rPr>
          <w:rFonts w:ascii="宋体"/>
          <w:highlight w:val="none"/>
        </w:rPr>
      </w:pPr>
    </w:p>
    <w:p>
      <w:pPr>
        <w:adjustRightInd w:val="0"/>
        <w:snapToGrid w:val="0"/>
        <w:spacing w:line="360" w:lineRule="auto"/>
        <w:rPr>
          <w:rFonts w:ascii="宋体"/>
          <w:highlight w:val="none"/>
        </w:rPr>
      </w:pPr>
    </w:p>
    <w:p>
      <w:pPr>
        <w:adjustRightInd w:val="0"/>
        <w:snapToGrid w:val="0"/>
        <w:spacing w:line="360" w:lineRule="auto"/>
        <w:ind w:right="420"/>
        <w:rPr>
          <w:rFonts w:ascii="宋体"/>
          <w:highlight w:val="none"/>
        </w:rPr>
      </w:pPr>
      <w:r>
        <w:rPr>
          <w:rFonts w:hint="eastAsia" w:ascii="宋体" w:hAnsi="宋体"/>
          <w:highlight w:val="none"/>
        </w:rPr>
        <w:t>供应商名称（盖单位章）：</w:t>
      </w:r>
    </w:p>
    <w:p>
      <w:pPr>
        <w:adjustRightInd w:val="0"/>
        <w:snapToGrid w:val="0"/>
        <w:spacing w:line="360" w:lineRule="auto"/>
        <w:ind w:right="420"/>
        <w:rPr>
          <w:rFonts w:ascii="仿宋_GB2312" w:hAnsi="宋体" w:eastAsia="Times New Roman"/>
          <w:highlight w:val="none"/>
        </w:rPr>
      </w:pPr>
      <w:r>
        <w:rPr>
          <w:rFonts w:hint="eastAsia" w:ascii="宋体" w:hAnsi="宋体"/>
          <w:highlight w:val="none"/>
        </w:rPr>
        <w:t>日期：年月日</w:t>
      </w:r>
      <w:r>
        <w:rPr>
          <w:rFonts w:ascii="宋体" w:hAnsi="宋体"/>
          <w:highlight w:val="none"/>
        </w:rPr>
        <w:t xml:space="preserve">      </w:t>
      </w:r>
    </w:p>
    <w:p>
      <w:pPr>
        <w:adjustRightInd w:val="0"/>
        <w:snapToGrid w:val="0"/>
        <w:spacing w:before="156" w:beforeLines="50" w:line="360" w:lineRule="auto"/>
        <w:rPr>
          <w:rFonts w:ascii="黑体" w:hAnsi="黑体" w:eastAsia="黑体" w:cs="Times New Roman"/>
          <w:sz w:val="30"/>
          <w:szCs w:val="30"/>
          <w:highlight w:val="none"/>
        </w:rPr>
      </w:pPr>
    </w:p>
    <w:p>
      <w:pPr>
        <w:widowControl/>
        <w:jc w:val="left"/>
        <w:rPr>
          <w:rFonts w:ascii="黑体" w:hAnsi="黑体" w:eastAsia="黑体" w:cs="Times New Roman"/>
          <w:sz w:val="30"/>
          <w:szCs w:val="30"/>
          <w:highlight w:val="none"/>
        </w:rPr>
      </w:pPr>
      <w:r>
        <w:rPr>
          <w:rFonts w:ascii="黑体" w:hAnsi="黑体" w:eastAsia="黑体" w:cs="Times New Roman"/>
          <w:sz w:val="30"/>
          <w:szCs w:val="30"/>
          <w:highlight w:val="none"/>
        </w:rPr>
        <w:br w:type="page"/>
      </w:r>
    </w:p>
    <w:p>
      <w:pPr>
        <w:adjustRightInd w:val="0"/>
        <w:snapToGrid w:val="0"/>
        <w:spacing w:before="156" w:beforeLines="50" w:line="360" w:lineRule="auto"/>
        <w:rPr>
          <w:rFonts w:ascii="黑体" w:hAnsi="黑体" w:eastAsia="黑体" w:cs="Times New Roman"/>
          <w:sz w:val="30"/>
          <w:szCs w:val="30"/>
          <w:highlight w:val="none"/>
        </w:rPr>
      </w:pPr>
    </w:p>
    <w:p>
      <w:pPr>
        <w:adjustRightInd w:val="0"/>
        <w:snapToGrid w:val="0"/>
        <w:spacing w:before="156" w:beforeLines="50" w:line="360" w:lineRule="auto"/>
        <w:rPr>
          <w:rFonts w:ascii="黑体" w:hAnsi="黑体" w:eastAsia="黑体" w:cs="Times New Roman"/>
          <w:sz w:val="30"/>
          <w:szCs w:val="30"/>
          <w:highlight w:val="none"/>
        </w:rPr>
      </w:pPr>
      <w:r>
        <w:rPr>
          <w:rFonts w:hint="eastAsia" w:ascii="黑体" w:hAnsi="黑体" w:eastAsia="黑体" w:cs="黑体"/>
          <w:sz w:val="30"/>
          <w:szCs w:val="30"/>
          <w:highlight w:val="none"/>
        </w:rPr>
        <w:t>附件</w:t>
      </w:r>
      <w:r>
        <w:rPr>
          <w:rFonts w:ascii="黑体" w:hAnsi="黑体" w:eastAsia="黑体" w:cs="黑体"/>
          <w:sz w:val="30"/>
          <w:szCs w:val="30"/>
          <w:highlight w:val="none"/>
        </w:rPr>
        <w:t>2</w:t>
      </w:r>
    </w:p>
    <w:p>
      <w:pPr>
        <w:adjustRightInd w:val="0"/>
        <w:snapToGrid w:val="0"/>
        <w:spacing w:line="360" w:lineRule="auto"/>
        <w:ind w:right="24"/>
        <w:jc w:val="center"/>
        <w:rPr>
          <w:rFonts w:ascii="黑体" w:hAnsi="华文中宋" w:eastAsia="黑体"/>
          <w:b/>
          <w:sz w:val="28"/>
          <w:szCs w:val="28"/>
          <w:highlight w:val="none"/>
        </w:rPr>
      </w:pPr>
      <w:r>
        <w:rPr>
          <w:rFonts w:hint="eastAsia" w:ascii="黑体" w:hAnsi="宋体" w:eastAsia="黑体"/>
          <w:b/>
          <w:sz w:val="28"/>
          <w:szCs w:val="28"/>
          <w:highlight w:val="none"/>
        </w:rPr>
        <w:t>负责人</w:t>
      </w:r>
      <w:r>
        <w:rPr>
          <w:rFonts w:hint="eastAsia" w:ascii="黑体" w:hAnsi="华文中宋" w:eastAsia="黑体"/>
          <w:b/>
          <w:sz w:val="28"/>
          <w:szCs w:val="28"/>
          <w:highlight w:val="none"/>
        </w:rPr>
        <w:t>授权书</w:t>
      </w:r>
      <w:r>
        <w:rPr>
          <w:rFonts w:ascii="黑体" w:hAnsi="华文中宋" w:eastAsia="黑体"/>
          <w:b/>
          <w:sz w:val="28"/>
          <w:szCs w:val="28"/>
          <w:highlight w:val="none"/>
        </w:rPr>
        <w:t>(</w:t>
      </w:r>
      <w:r>
        <w:rPr>
          <w:rFonts w:hint="eastAsia" w:ascii="黑体" w:hAnsi="华文中宋" w:eastAsia="黑体"/>
          <w:b/>
          <w:sz w:val="28"/>
          <w:szCs w:val="28"/>
          <w:highlight w:val="none"/>
        </w:rPr>
        <w:t>委托代理人参加投标</w:t>
      </w:r>
      <w:r>
        <w:rPr>
          <w:rFonts w:ascii="黑体" w:hAnsi="华文中宋" w:eastAsia="黑体"/>
          <w:b/>
          <w:sz w:val="28"/>
          <w:szCs w:val="28"/>
          <w:highlight w:val="none"/>
        </w:rPr>
        <w:t>)</w:t>
      </w:r>
    </w:p>
    <w:p>
      <w:pPr>
        <w:adjustRightInd w:val="0"/>
        <w:snapToGrid w:val="0"/>
        <w:spacing w:line="360" w:lineRule="auto"/>
        <w:jc w:val="center"/>
        <w:rPr>
          <w:rFonts w:ascii="黑体" w:hAnsi="华文中宋" w:eastAsia="黑体"/>
          <w:b/>
          <w:sz w:val="28"/>
          <w:szCs w:val="28"/>
          <w:highlight w:val="none"/>
        </w:rPr>
      </w:pPr>
    </w:p>
    <w:p>
      <w:pPr>
        <w:autoSpaceDE w:val="0"/>
        <w:autoSpaceDN w:val="0"/>
        <w:adjustRightInd w:val="0"/>
        <w:snapToGrid w:val="0"/>
        <w:spacing w:before="156" w:beforeLines="50" w:line="360" w:lineRule="auto"/>
        <w:ind w:firstLine="630" w:firstLineChars="300"/>
        <w:jc w:val="left"/>
        <w:rPr>
          <w:rFonts w:ascii="宋体" w:cs="宋体"/>
          <w:kern w:val="0"/>
          <w:highlight w:val="none"/>
        </w:rPr>
      </w:pPr>
      <w:r>
        <w:rPr>
          <w:rFonts w:hint="eastAsia" w:ascii="宋体" w:hAnsi="宋体" w:cs="宋体"/>
          <w:kern w:val="0"/>
          <w:highlight w:val="none"/>
        </w:rPr>
        <w:t>本人（姓名、职务）系（</w:t>
      </w:r>
      <w:r>
        <w:rPr>
          <w:rFonts w:hint="eastAsia" w:ascii="宋体" w:hAnsi="宋体"/>
          <w:highlight w:val="none"/>
        </w:rPr>
        <w:t>供应商</w:t>
      </w:r>
      <w:r>
        <w:rPr>
          <w:rFonts w:hint="eastAsia" w:ascii="宋体" w:hAnsi="宋体" w:cs="宋体"/>
          <w:kern w:val="0"/>
          <w:highlight w:val="none"/>
        </w:rPr>
        <w:t>名称）的负责人，现授权（姓名、职务）为我方代理人。代理人根据授权，以我方名义：</w:t>
      </w:r>
      <w:r>
        <w:rPr>
          <w:rFonts w:ascii="宋体" w:hAnsi="宋体" w:cs="宋体"/>
          <w:kern w:val="0"/>
          <w:highlight w:val="none"/>
        </w:rPr>
        <w:t>(1)</w:t>
      </w:r>
      <w:r>
        <w:rPr>
          <w:rFonts w:hint="eastAsia" w:ascii="宋体" w:hAnsi="宋体" w:cs="宋体"/>
          <w:kern w:val="0"/>
          <w:highlight w:val="none"/>
        </w:rPr>
        <w:t>签署、澄清、补正、修改、撤回、提交（项目名称、</w:t>
      </w:r>
      <w:r>
        <w:rPr>
          <w:rFonts w:hint="eastAsia" w:ascii="宋体" w:hAnsi="宋体"/>
          <w:highlight w:val="none"/>
        </w:rPr>
        <w:t>政府</w:t>
      </w:r>
      <w:r>
        <w:rPr>
          <w:rFonts w:hint="eastAsia" w:ascii="宋体" w:hAnsi="宋体" w:cs="宋体"/>
          <w:kern w:val="0"/>
          <w:highlight w:val="none"/>
        </w:rPr>
        <w:t>采购编号、采购代理机构编号）响应文件；</w:t>
      </w:r>
      <w:r>
        <w:rPr>
          <w:rFonts w:ascii="宋体" w:hAnsi="宋体" w:cs="宋体"/>
          <w:kern w:val="0"/>
          <w:highlight w:val="none"/>
        </w:rPr>
        <w:t>(2)</w:t>
      </w:r>
      <w:r>
        <w:rPr>
          <w:rFonts w:hint="eastAsia" w:ascii="宋体" w:hAnsi="宋体" w:cs="宋体"/>
          <w:kern w:val="0"/>
          <w:highlight w:val="none"/>
        </w:rPr>
        <w:t>签署并重新提交响应文件及最后报价；</w:t>
      </w:r>
      <w:r>
        <w:rPr>
          <w:rFonts w:ascii="宋体" w:hAnsi="宋体" w:cs="宋体"/>
          <w:kern w:val="0"/>
          <w:highlight w:val="none"/>
        </w:rPr>
        <w:t>(3)</w:t>
      </w:r>
      <w:r>
        <w:rPr>
          <w:rFonts w:hint="eastAsia" w:ascii="宋体" w:hAnsi="宋体" w:cs="宋体"/>
          <w:kern w:val="0"/>
          <w:highlight w:val="none"/>
        </w:rPr>
        <w:t>退出磋商；</w:t>
      </w:r>
      <w:r>
        <w:rPr>
          <w:rFonts w:ascii="宋体" w:hAnsi="宋体" w:cs="宋体"/>
          <w:kern w:val="0"/>
          <w:highlight w:val="none"/>
        </w:rPr>
        <w:t>(4)</w:t>
      </w:r>
      <w:r>
        <w:rPr>
          <w:rFonts w:hint="eastAsia" w:ascii="宋体" w:hAnsi="宋体" w:cs="宋体"/>
          <w:kern w:val="0"/>
          <w:highlight w:val="none"/>
        </w:rPr>
        <w:t>签订合同和处理有关事宜，其法律后果由我方承担；（</w:t>
      </w:r>
      <w:r>
        <w:rPr>
          <w:rFonts w:ascii="宋体" w:hAnsi="宋体" w:cs="宋体"/>
          <w:kern w:val="0"/>
          <w:highlight w:val="none"/>
        </w:rPr>
        <w:t>5</w:t>
      </w:r>
      <w:r>
        <w:rPr>
          <w:rFonts w:hint="eastAsia" w:ascii="宋体" w:hAnsi="宋体" w:cs="宋体"/>
          <w:kern w:val="0"/>
          <w:highlight w:val="none"/>
        </w:rPr>
        <w:t>）询问、质疑、投诉等相关事项，其法律后果由我方承担。</w:t>
      </w:r>
    </w:p>
    <w:p>
      <w:pPr>
        <w:autoSpaceDE w:val="0"/>
        <w:autoSpaceDN w:val="0"/>
        <w:adjustRightInd w:val="0"/>
        <w:snapToGrid w:val="0"/>
        <w:spacing w:before="156" w:beforeLines="50" w:line="360" w:lineRule="auto"/>
        <w:ind w:firstLine="420" w:firstLineChars="200"/>
        <w:jc w:val="left"/>
        <w:rPr>
          <w:rFonts w:ascii="宋体" w:cs="宋体"/>
          <w:kern w:val="0"/>
          <w:highlight w:val="none"/>
        </w:rPr>
      </w:pPr>
      <w:r>
        <w:rPr>
          <w:rFonts w:hint="eastAsia" w:ascii="宋体" w:hAnsi="宋体" w:cs="宋体"/>
          <w:kern w:val="0"/>
          <w:highlight w:val="none"/>
        </w:rPr>
        <w:t>委托期限：。</w:t>
      </w:r>
    </w:p>
    <w:p>
      <w:pPr>
        <w:spacing w:line="360" w:lineRule="auto"/>
        <w:ind w:firstLine="435"/>
        <w:rPr>
          <w:rFonts w:ascii="宋体" w:cs="宋体"/>
          <w:kern w:val="0"/>
          <w:highlight w:val="none"/>
        </w:rPr>
      </w:pPr>
      <w:r>
        <w:rPr>
          <w:rFonts w:hint="eastAsia" w:ascii="宋体" w:hAnsi="宋体" w:cs="宋体"/>
          <w:kern w:val="0"/>
          <w:highlight w:val="none"/>
        </w:rPr>
        <w:t>代理人无转委托权。</w:t>
      </w:r>
    </w:p>
    <w:p>
      <w:pPr>
        <w:spacing w:line="360" w:lineRule="auto"/>
        <w:ind w:firstLine="435"/>
        <w:rPr>
          <w:rFonts w:ascii="宋体"/>
          <w:highlight w:val="none"/>
        </w:rPr>
      </w:pPr>
      <w:r>
        <w:rPr>
          <w:rFonts w:hint="eastAsia" w:ascii="宋体" w:hAnsi="宋体"/>
          <w:highlight w:val="none"/>
        </w:rPr>
        <w:t>本授权书于年月日签字生效，特此声明。</w:t>
      </w:r>
    </w:p>
    <w:p>
      <w:pPr>
        <w:adjustRightInd w:val="0"/>
        <w:snapToGrid w:val="0"/>
        <w:spacing w:before="156" w:beforeLines="50" w:line="360" w:lineRule="auto"/>
        <w:ind w:firstLine="420" w:firstLineChars="200"/>
        <w:rPr>
          <w:rFonts w:ascii="宋体"/>
          <w:highlight w:val="none"/>
        </w:rPr>
      </w:pPr>
      <w:r>
        <w:rPr>
          <w:rFonts w:hint="eastAsia" w:ascii="宋体" w:hAnsi="宋体"/>
          <w:highlight w:val="none"/>
        </w:rPr>
        <w:t>附：委托代理人身份证复印件及负责人身份证明</w:t>
      </w:r>
      <w:r>
        <w:rPr>
          <w:rFonts w:ascii="宋体" w:hAnsi="宋体"/>
          <w:highlight w:val="none"/>
        </w:rPr>
        <w:t>(</w:t>
      </w:r>
      <w:r>
        <w:rPr>
          <w:rFonts w:hint="eastAsia" w:ascii="宋体" w:hAnsi="宋体"/>
          <w:highlight w:val="none"/>
        </w:rPr>
        <w:t>附件</w:t>
      </w:r>
      <w:r>
        <w:rPr>
          <w:rFonts w:ascii="宋体" w:hAnsi="宋体"/>
          <w:highlight w:val="none"/>
        </w:rPr>
        <w:t>1</w:t>
      </w:r>
      <w:r>
        <w:rPr>
          <w:rFonts w:hint="eastAsia" w:ascii="宋体" w:hAnsi="宋体"/>
          <w:highlight w:val="none"/>
        </w:rPr>
        <w:t>，原件</w:t>
      </w:r>
      <w:r>
        <w:rPr>
          <w:rFonts w:ascii="宋体" w:hAnsi="宋体"/>
          <w:highlight w:val="none"/>
        </w:rPr>
        <w:t>)</w:t>
      </w:r>
    </w:p>
    <w:p>
      <w:pPr>
        <w:adjustRightInd w:val="0"/>
        <w:snapToGrid w:val="0"/>
        <w:spacing w:line="360" w:lineRule="auto"/>
        <w:ind w:right="420"/>
        <w:rPr>
          <w:rFonts w:ascii="宋体"/>
          <w:highlight w:val="none"/>
        </w:rPr>
      </w:pPr>
    </w:p>
    <w:p>
      <w:pPr>
        <w:adjustRightInd w:val="0"/>
        <w:snapToGrid w:val="0"/>
        <w:spacing w:line="360" w:lineRule="auto"/>
        <w:ind w:right="420"/>
        <w:rPr>
          <w:rFonts w:ascii="宋体"/>
          <w:highlight w:val="none"/>
        </w:rPr>
      </w:pPr>
    </w:p>
    <w:p>
      <w:pPr>
        <w:adjustRightInd w:val="0"/>
        <w:snapToGrid w:val="0"/>
        <w:spacing w:line="360" w:lineRule="auto"/>
        <w:ind w:right="420"/>
        <w:rPr>
          <w:rFonts w:ascii="宋体"/>
          <w:highlight w:val="none"/>
        </w:rPr>
      </w:pPr>
    </w:p>
    <w:p>
      <w:pPr>
        <w:adjustRightInd w:val="0"/>
        <w:snapToGrid w:val="0"/>
        <w:spacing w:line="360" w:lineRule="auto"/>
        <w:ind w:right="420"/>
        <w:rPr>
          <w:rFonts w:ascii="宋体"/>
          <w:highlight w:val="none"/>
        </w:rPr>
      </w:pPr>
    </w:p>
    <w:p>
      <w:pPr>
        <w:adjustRightInd w:val="0"/>
        <w:snapToGrid w:val="0"/>
        <w:spacing w:line="360" w:lineRule="auto"/>
        <w:ind w:right="420"/>
        <w:rPr>
          <w:rFonts w:ascii="宋体"/>
          <w:highlight w:val="none"/>
        </w:rPr>
      </w:pPr>
    </w:p>
    <w:p>
      <w:pPr>
        <w:adjustRightInd w:val="0"/>
        <w:snapToGrid w:val="0"/>
        <w:spacing w:line="360" w:lineRule="auto"/>
        <w:ind w:right="420"/>
        <w:rPr>
          <w:rFonts w:ascii="宋体"/>
          <w:highlight w:val="none"/>
        </w:rPr>
      </w:pPr>
    </w:p>
    <w:p>
      <w:pPr>
        <w:adjustRightInd w:val="0"/>
        <w:snapToGrid w:val="0"/>
        <w:spacing w:line="360" w:lineRule="auto"/>
        <w:ind w:right="420"/>
        <w:rPr>
          <w:rFonts w:ascii="宋体"/>
          <w:highlight w:val="none"/>
        </w:rPr>
      </w:pPr>
    </w:p>
    <w:p>
      <w:pPr>
        <w:adjustRightInd w:val="0"/>
        <w:snapToGrid w:val="0"/>
        <w:spacing w:line="360" w:lineRule="auto"/>
        <w:ind w:right="420"/>
        <w:rPr>
          <w:rFonts w:ascii="宋体"/>
          <w:highlight w:val="none"/>
        </w:rPr>
      </w:pPr>
    </w:p>
    <w:p>
      <w:pPr>
        <w:adjustRightInd w:val="0"/>
        <w:snapToGrid w:val="0"/>
        <w:spacing w:line="360" w:lineRule="auto"/>
        <w:ind w:right="420"/>
        <w:rPr>
          <w:rFonts w:ascii="宋体"/>
          <w:highlight w:val="none"/>
        </w:rPr>
      </w:pPr>
      <w:r>
        <w:rPr>
          <w:rFonts w:hint="eastAsia" w:ascii="宋体" w:hAnsi="宋体"/>
          <w:highlight w:val="none"/>
        </w:rPr>
        <w:t>负责人（签字）：</w:t>
      </w:r>
    </w:p>
    <w:p>
      <w:pPr>
        <w:adjustRightInd w:val="0"/>
        <w:snapToGrid w:val="0"/>
        <w:spacing w:line="360" w:lineRule="auto"/>
        <w:ind w:right="420"/>
        <w:rPr>
          <w:rFonts w:ascii="宋体"/>
          <w:highlight w:val="none"/>
        </w:rPr>
      </w:pPr>
      <w:r>
        <w:rPr>
          <w:rFonts w:hint="eastAsia" w:ascii="宋体" w:hAnsi="宋体"/>
          <w:highlight w:val="none"/>
        </w:rPr>
        <w:t>委托代理人（签字）：</w:t>
      </w:r>
    </w:p>
    <w:p>
      <w:pPr>
        <w:adjustRightInd w:val="0"/>
        <w:snapToGrid w:val="0"/>
        <w:spacing w:line="360" w:lineRule="auto"/>
        <w:ind w:right="24"/>
        <w:rPr>
          <w:rFonts w:ascii="黑体" w:eastAsia="黑体"/>
          <w:b/>
          <w:sz w:val="32"/>
          <w:szCs w:val="32"/>
          <w:highlight w:val="none"/>
        </w:rPr>
      </w:pPr>
      <w:r>
        <w:rPr>
          <w:rFonts w:hint="eastAsia" w:ascii="宋体" w:hAnsi="宋体"/>
          <w:highlight w:val="none"/>
        </w:rPr>
        <w:t>日期：年月日</w:t>
      </w:r>
    </w:p>
    <w:p>
      <w:pPr>
        <w:pStyle w:val="11"/>
        <w:adjustRightInd w:val="0"/>
        <w:snapToGrid w:val="0"/>
        <w:spacing w:line="360" w:lineRule="auto"/>
        <w:jc w:val="center"/>
        <w:rPr>
          <w:rFonts w:ascii="黑体" w:eastAsia="黑体"/>
          <w:b/>
          <w:sz w:val="32"/>
          <w:szCs w:val="32"/>
          <w:highlight w:val="none"/>
        </w:rPr>
      </w:pPr>
    </w:p>
    <w:p>
      <w:pPr>
        <w:widowControl/>
        <w:jc w:val="left"/>
        <w:rPr>
          <w:rFonts w:ascii="黑体" w:hAnsi="Courier New" w:eastAsia="黑体" w:cs="宋体"/>
          <w:b/>
          <w:sz w:val="32"/>
          <w:szCs w:val="32"/>
          <w:highlight w:val="none"/>
        </w:rPr>
      </w:pPr>
      <w:r>
        <w:rPr>
          <w:rFonts w:ascii="黑体" w:hAnsi="Courier New" w:eastAsia="黑体" w:cs="宋体"/>
          <w:b/>
          <w:sz w:val="32"/>
          <w:szCs w:val="32"/>
          <w:highlight w:val="none"/>
        </w:rPr>
        <w:br w:type="page"/>
      </w:r>
    </w:p>
    <w:p>
      <w:pPr>
        <w:spacing w:line="360" w:lineRule="exact"/>
        <w:jc w:val="center"/>
        <w:rPr>
          <w:rFonts w:hAnsi="宋体"/>
          <w:b/>
          <w:bCs/>
          <w:highlight w:val="none"/>
        </w:rPr>
      </w:pPr>
    </w:p>
    <w:p>
      <w:pPr>
        <w:spacing w:line="360" w:lineRule="exact"/>
        <w:jc w:val="center"/>
        <w:rPr>
          <w:rFonts w:ascii="黑体" w:cs="Times New Roman"/>
          <w:b/>
          <w:bCs/>
          <w:sz w:val="32"/>
          <w:szCs w:val="32"/>
          <w:highlight w:val="none"/>
        </w:rPr>
      </w:pPr>
      <w:r>
        <w:rPr>
          <w:rFonts w:hint="eastAsia" w:ascii="黑体" w:eastAsia="黑体" w:cs="黑体"/>
          <w:b/>
          <w:bCs/>
          <w:sz w:val="32"/>
          <w:szCs w:val="32"/>
          <w:highlight w:val="none"/>
        </w:rPr>
        <w:t>二</w:t>
      </w:r>
      <w:r>
        <w:rPr>
          <w:rFonts w:hint="eastAsia" w:ascii="黑体" w:hAnsi="宋体" w:eastAsia="黑体" w:cs="黑体"/>
          <w:b/>
          <w:bCs/>
          <w:sz w:val="32"/>
          <w:szCs w:val="32"/>
          <w:highlight w:val="none"/>
        </w:rPr>
        <w:t>、磋商</w:t>
      </w:r>
      <w:r>
        <w:rPr>
          <w:rFonts w:hint="eastAsia" w:ascii="黑体" w:eastAsia="黑体" w:cs="黑体"/>
          <w:b/>
          <w:bCs/>
          <w:sz w:val="32"/>
          <w:szCs w:val="32"/>
          <w:highlight w:val="none"/>
        </w:rPr>
        <w:t>保证金缴纳证明材料</w:t>
      </w:r>
      <w:r>
        <w:rPr>
          <w:rFonts w:hint="eastAsia" w:hAnsi="宋体"/>
          <w:b/>
          <w:bCs/>
          <w:highlight w:val="none"/>
        </w:rPr>
        <w:t>（本项目不要求提供磋商保证金）</w:t>
      </w:r>
    </w:p>
    <w:p>
      <w:pPr>
        <w:rPr>
          <w:highlight w:val="none"/>
        </w:rPr>
      </w:pPr>
      <w:r>
        <w:rPr>
          <w:highlight w:val="none"/>
        </w:rPr>
        <w:t>1</w:t>
      </w:r>
      <w:r>
        <w:rPr>
          <w:rFonts w:hint="eastAsia"/>
          <w:highlight w:val="none"/>
        </w:rPr>
        <w:t>、提供付款凭证复印件。</w:t>
      </w:r>
    </w:p>
    <w:p>
      <w:pPr>
        <w:adjustRightInd w:val="0"/>
        <w:snapToGrid w:val="0"/>
        <w:spacing w:line="360" w:lineRule="auto"/>
        <w:rPr>
          <w:highlight w:val="none"/>
        </w:rPr>
      </w:pPr>
      <w:r>
        <w:rPr>
          <w:highlight w:val="none"/>
        </w:rPr>
        <w:t>2</w:t>
      </w:r>
      <w:r>
        <w:rPr>
          <w:rFonts w:hint="eastAsia"/>
          <w:highlight w:val="none"/>
        </w:rPr>
        <w:t>、根据供应商递交的《投标保证金退还申请书》上的账户信息，以转账或电汇方式退还至供应商的原缴纳账户。</w:t>
      </w:r>
    </w:p>
    <w:p>
      <w:pPr>
        <w:adjustRightInd w:val="0"/>
        <w:snapToGrid w:val="0"/>
        <w:spacing w:line="360" w:lineRule="auto"/>
        <w:rPr>
          <w:highlight w:val="none"/>
        </w:rPr>
      </w:pPr>
    </w:p>
    <w:p>
      <w:pPr>
        <w:spacing w:line="480" w:lineRule="exact"/>
        <w:rPr>
          <w:rFonts w:ascii="黑体" w:eastAsia="黑体"/>
          <w:sz w:val="24"/>
          <w:highlight w:val="none"/>
        </w:rPr>
      </w:pPr>
    </w:p>
    <w:p>
      <w:pPr>
        <w:spacing w:line="480" w:lineRule="exact"/>
        <w:rPr>
          <w:rFonts w:ascii="黑体" w:hAnsi="宋体" w:eastAsia="黑体"/>
          <w:b/>
          <w:bCs/>
          <w:sz w:val="28"/>
          <w:szCs w:val="28"/>
          <w:highlight w:val="none"/>
        </w:rPr>
      </w:pPr>
      <w:r>
        <w:rPr>
          <w:rFonts w:hint="eastAsia" w:ascii="黑体" w:eastAsia="黑体"/>
          <w:sz w:val="24"/>
          <w:highlight w:val="none"/>
        </w:rPr>
        <w:t>附件</w:t>
      </w:r>
      <w:r>
        <w:rPr>
          <w:rFonts w:ascii="黑体" w:eastAsia="黑体"/>
          <w:sz w:val="24"/>
          <w:highlight w:val="none"/>
        </w:rPr>
        <w:t>3</w:t>
      </w:r>
      <w:r>
        <w:rPr>
          <w:rFonts w:hint="eastAsia" w:ascii="黑体" w:eastAsia="黑体"/>
          <w:sz w:val="24"/>
          <w:highlight w:val="none"/>
        </w:rPr>
        <w:t>：</w:t>
      </w:r>
      <w:r>
        <w:rPr>
          <w:rFonts w:ascii="黑体" w:eastAsia="黑体"/>
          <w:sz w:val="24"/>
          <w:highlight w:val="none"/>
        </w:rPr>
        <w:t xml:space="preserve">                  </w:t>
      </w:r>
      <w:r>
        <w:rPr>
          <w:rFonts w:hint="eastAsia" w:ascii="黑体" w:hAnsi="宋体" w:eastAsia="黑体"/>
          <w:b/>
          <w:bCs/>
          <w:sz w:val="28"/>
          <w:szCs w:val="28"/>
          <w:highlight w:val="none"/>
        </w:rPr>
        <w:t>保证金退还申请书</w:t>
      </w:r>
    </w:p>
    <w:p>
      <w:pPr>
        <w:spacing w:line="480" w:lineRule="exact"/>
        <w:jc w:val="center"/>
        <w:rPr>
          <w:rFonts w:ascii="黑体" w:hAnsi="宋体" w:eastAsia="黑体"/>
          <w:b/>
          <w:bCs/>
          <w:sz w:val="28"/>
          <w:szCs w:val="28"/>
          <w:highlight w:val="none"/>
        </w:rPr>
      </w:pPr>
    </w:p>
    <w:p>
      <w:pPr>
        <w:adjustRightInd w:val="0"/>
        <w:snapToGrid w:val="0"/>
        <w:spacing w:before="156" w:beforeLines="50" w:line="360" w:lineRule="auto"/>
        <w:rPr>
          <w:rFonts w:ascii="宋体"/>
          <w:highlight w:val="none"/>
        </w:rPr>
      </w:pPr>
      <w:r>
        <w:rPr>
          <w:rFonts w:hint="eastAsia" w:ascii="宋体" w:hAnsi="宋体"/>
          <w:highlight w:val="none"/>
        </w:rPr>
        <w:t>致</w:t>
      </w:r>
      <w:r>
        <w:rPr>
          <w:rFonts w:ascii="宋体" w:hAnsi="宋体"/>
          <w:highlight w:val="none"/>
        </w:rPr>
        <w:t xml:space="preserve"> (</w:t>
      </w:r>
      <w:r>
        <w:rPr>
          <w:rFonts w:hint="eastAsia" w:ascii="宋体" w:hAnsi="宋体"/>
          <w:highlight w:val="none"/>
        </w:rPr>
        <w:t>采购人或采购代理机构</w:t>
      </w:r>
      <w:r>
        <w:rPr>
          <w:rFonts w:ascii="宋体" w:hAnsi="宋体"/>
          <w:highlight w:val="none"/>
        </w:rPr>
        <w:t>)</w:t>
      </w:r>
      <w:r>
        <w:rPr>
          <w:rFonts w:hint="eastAsia" w:ascii="宋体" w:hAnsi="宋体"/>
          <w:highlight w:val="none"/>
        </w:rPr>
        <w:t>：</w:t>
      </w:r>
      <w:r>
        <w:rPr>
          <w:rFonts w:ascii="宋体" w:hAnsi="宋体"/>
          <w:highlight w:val="none"/>
        </w:rPr>
        <w:t xml:space="preserve"> </w:t>
      </w:r>
    </w:p>
    <w:p>
      <w:pPr>
        <w:adjustRightInd w:val="0"/>
        <w:snapToGrid w:val="0"/>
        <w:spacing w:before="156" w:beforeLines="50" w:line="360" w:lineRule="auto"/>
        <w:ind w:firstLine="420" w:firstLineChars="200"/>
        <w:rPr>
          <w:rFonts w:ascii="宋体"/>
          <w:highlight w:val="none"/>
        </w:rPr>
      </w:pPr>
      <w:r>
        <w:rPr>
          <w:rFonts w:hint="eastAsia" w:ascii="宋体" w:hAnsi="宋体"/>
          <w:highlight w:val="none"/>
        </w:rPr>
        <w:t>我系参加</w:t>
      </w:r>
      <w:r>
        <w:rPr>
          <w:rFonts w:ascii="宋体" w:hAnsi="宋体"/>
          <w:highlight w:val="none"/>
        </w:rPr>
        <w:t xml:space="preserve"> </w:t>
      </w:r>
      <w:r>
        <w:rPr>
          <w:rFonts w:hint="eastAsia" w:ascii="宋体" w:hAnsi="宋体"/>
          <w:highlight w:val="none"/>
        </w:rPr>
        <w:t>（项目名称），政府采购编号：，委托代理编号：竞争性磋商的供应商，现申请按该项目磋商文件规定，退返保证金人民币</w:t>
      </w:r>
      <w:r>
        <w:rPr>
          <w:rFonts w:ascii="宋体" w:hAnsi="宋体"/>
          <w:highlight w:val="none"/>
        </w:rPr>
        <w:t>(</w:t>
      </w:r>
      <w:r>
        <w:rPr>
          <w:rFonts w:hint="eastAsia" w:ascii="宋体" w:hAnsi="宋体"/>
          <w:highlight w:val="none"/>
        </w:rPr>
        <w:t>大写）￥</w:t>
      </w:r>
      <w:r>
        <w:rPr>
          <w:rFonts w:ascii="宋体" w:hAnsi="宋体"/>
          <w:highlight w:val="none"/>
        </w:rPr>
        <w:t>(</w:t>
      </w:r>
      <w:r>
        <w:rPr>
          <w:rFonts w:hint="eastAsia" w:ascii="宋体" w:hAnsi="宋体"/>
          <w:highlight w:val="none"/>
        </w:rPr>
        <w:t>小写），保证金请退还到以下原缴纳账户：</w:t>
      </w:r>
    </w:p>
    <w:p>
      <w:pPr>
        <w:adjustRightInd w:val="0"/>
        <w:snapToGrid w:val="0"/>
        <w:spacing w:before="50" w:line="360" w:lineRule="auto"/>
        <w:ind w:firstLine="420" w:firstLineChars="200"/>
        <w:rPr>
          <w:rFonts w:ascii="宋体"/>
          <w:highlight w:val="none"/>
          <w:u w:val="single"/>
        </w:rPr>
      </w:pPr>
      <w:r>
        <w:rPr>
          <w:rFonts w:hint="eastAsia" w:ascii="宋体" w:hAnsi="宋体"/>
          <w:highlight w:val="none"/>
        </w:rPr>
        <w:t>户名：</w:t>
      </w:r>
    </w:p>
    <w:p>
      <w:pPr>
        <w:adjustRightInd w:val="0"/>
        <w:snapToGrid w:val="0"/>
        <w:spacing w:before="50" w:line="360" w:lineRule="auto"/>
        <w:ind w:firstLine="420" w:firstLineChars="200"/>
        <w:rPr>
          <w:rFonts w:ascii="宋体"/>
          <w:highlight w:val="none"/>
          <w:u w:val="single"/>
        </w:rPr>
      </w:pPr>
      <w:r>
        <w:rPr>
          <w:rFonts w:hint="eastAsia" w:ascii="宋体" w:hAnsi="宋体"/>
          <w:highlight w:val="none"/>
        </w:rPr>
        <w:t>账号：</w:t>
      </w:r>
    </w:p>
    <w:p>
      <w:pPr>
        <w:adjustRightInd w:val="0"/>
        <w:snapToGrid w:val="0"/>
        <w:spacing w:before="50" w:line="360" w:lineRule="auto"/>
        <w:ind w:firstLine="420" w:firstLineChars="200"/>
        <w:rPr>
          <w:rFonts w:ascii="宋体"/>
          <w:highlight w:val="none"/>
          <w:u w:val="single"/>
        </w:rPr>
      </w:pPr>
      <w:r>
        <w:rPr>
          <w:rFonts w:hint="eastAsia" w:ascii="宋体" w:hAnsi="宋体"/>
          <w:highlight w:val="none"/>
        </w:rPr>
        <w:t>开户行：</w:t>
      </w:r>
    </w:p>
    <w:p>
      <w:pPr>
        <w:adjustRightInd w:val="0"/>
        <w:snapToGrid w:val="0"/>
        <w:spacing w:before="50" w:line="360" w:lineRule="auto"/>
        <w:ind w:firstLine="420" w:firstLineChars="200"/>
        <w:rPr>
          <w:rFonts w:ascii="宋体"/>
          <w:highlight w:val="none"/>
        </w:rPr>
      </w:pPr>
      <w:r>
        <w:rPr>
          <w:rFonts w:hint="eastAsia" w:ascii="宋体" w:hAnsi="宋体"/>
          <w:highlight w:val="none"/>
        </w:rPr>
        <w:t>开户行地址：省市</w:t>
      </w:r>
    </w:p>
    <w:p>
      <w:pPr>
        <w:adjustRightInd w:val="0"/>
        <w:snapToGrid w:val="0"/>
        <w:spacing w:before="50" w:line="360" w:lineRule="auto"/>
        <w:ind w:firstLine="420" w:firstLineChars="200"/>
        <w:rPr>
          <w:rFonts w:ascii="宋体"/>
          <w:highlight w:val="none"/>
        </w:rPr>
      </w:pPr>
      <w:r>
        <w:rPr>
          <w:rFonts w:hint="eastAsia" w:ascii="宋体" w:hAnsi="宋体"/>
          <w:highlight w:val="none"/>
        </w:rPr>
        <w:t>如果提供的账户信息有误或因账户信息变更未及时通知，一切后果均由本单位自行负责。</w:t>
      </w:r>
    </w:p>
    <w:p>
      <w:pPr>
        <w:adjustRightInd w:val="0"/>
        <w:snapToGrid w:val="0"/>
        <w:spacing w:before="50" w:line="360" w:lineRule="auto"/>
        <w:ind w:left="4429" w:leftChars="2109"/>
        <w:rPr>
          <w:highlight w:val="none"/>
        </w:rPr>
      </w:pPr>
      <w:r>
        <w:rPr>
          <w:rFonts w:ascii="宋体" w:hAnsi="宋体"/>
          <w:highlight w:val="none"/>
        </w:rPr>
        <w:t xml:space="preserve">                                         </w:t>
      </w:r>
      <w:r>
        <w:rPr>
          <w:rFonts w:hint="eastAsia" w:ascii="宋体" w:hAnsi="宋体"/>
          <w:highlight w:val="none"/>
        </w:rPr>
        <w:t>供应商</w:t>
      </w:r>
      <w:r>
        <w:rPr>
          <w:rFonts w:ascii="宋体" w:hAnsi="宋体"/>
          <w:highlight w:val="none"/>
        </w:rPr>
        <w:t>(</w:t>
      </w:r>
      <w:r>
        <w:rPr>
          <w:rFonts w:hint="eastAsia" w:ascii="宋体" w:hAnsi="宋体"/>
          <w:highlight w:val="none"/>
        </w:rPr>
        <w:t>盖</w:t>
      </w:r>
      <w:r>
        <w:rPr>
          <w:rFonts w:hint="eastAsia"/>
          <w:highlight w:val="none"/>
        </w:rPr>
        <w:t>单位章</w:t>
      </w:r>
      <w:r>
        <w:rPr>
          <w:highlight w:val="none"/>
        </w:rPr>
        <w:t>)</w:t>
      </w:r>
      <w:r>
        <w:rPr>
          <w:rFonts w:hint="eastAsia"/>
          <w:highlight w:val="none"/>
        </w:rPr>
        <w:t>：</w:t>
      </w:r>
    </w:p>
    <w:p>
      <w:pPr>
        <w:adjustRightInd w:val="0"/>
        <w:snapToGrid w:val="0"/>
        <w:spacing w:before="50" w:line="360" w:lineRule="auto"/>
        <w:ind w:left="4429" w:leftChars="2109"/>
        <w:rPr>
          <w:highlight w:val="none"/>
        </w:rPr>
      </w:pPr>
      <w:r>
        <w:rPr>
          <w:rFonts w:hint="eastAsia"/>
          <w:highlight w:val="none"/>
        </w:rPr>
        <w:t>联系人：</w:t>
      </w:r>
    </w:p>
    <w:p>
      <w:pPr>
        <w:adjustRightInd w:val="0"/>
        <w:snapToGrid w:val="0"/>
        <w:spacing w:before="50" w:line="360" w:lineRule="auto"/>
        <w:ind w:left="4429" w:leftChars="2109"/>
        <w:rPr>
          <w:highlight w:val="none"/>
        </w:rPr>
      </w:pPr>
      <w:r>
        <w:rPr>
          <w:rFonts w:hint="eastAsia"/>
          <w:highlight w:val="none"/>
        </w:rPr>
        <w:t>移动电话：</w:t>
      </w:r>
    </w:p>
    <w:p>
      <w:pPr>
        <w:adjustRightInd w:val="0"/>
        <w:snapToGrid w:val="0"/>
        <w:spacing w:before="50" w:line="360" w:lineRule="auto"/>
        <w:ind w:left="4429" w:leftChars="2109"/>
        <w:rPr>
          <w:highlight w:val="none"/>
        </w:rPr>
      </w:pPr>
      <w:r>
        <w:rPr>
          <w:rFonts w:hint="eastAsia"/>
          <w:highlight w:val="none"/>
        </w:rPr>
        <w:t>固定电话：</w:t>
      </w:r>
    </w:p>
    <w:p>
      <w:pPr>
        <w:adjustRightInd w:val="0"/>
        <w:snapToGrid w:val="0"/>
        <w:spacing w:before="50" w:line="360" w:lineRule="auto"/>
        <w:ind w:left="4429" w:leftChars="2109"/>
        <w:rPr>
          <w:highlight w:val="none"/>
        </w:rPr>
      </w:pPr>
      <w:r>
        <w:rPr>
          <w:rFonts w:hint="eastAsia"/>
          <w:highlight w:val="none"/>
        </w:rPr>
        <w:t>日期：</w:t>
      </w:r>
      <w:r>
        <w:rPr>
          <w:highlight w:val="none"/>
        </w:rPr>
        <w:t xml:space="preserve">      </w:t>
      </w:r>
      <w:r>
        <w:rPr>
          <w:rFonts w:hint="eastAsia"/>
          <w:highlight w:val="none"/>
        </w:rPr>
        <w:t>年</w:t>
      </w:r>
      <w:r>
        <w:rPr>
          <w:highlight w:val="none"/>
        </w:rPr>
        <w:t xml:space="preserve">   </w:t>
      </w:r>
      <w:r>
        <w:rPr>
          <w:rFonts w:hint="eastAsia"/>
          <w:highlight w:val="none"/>
        </w:rPr>
        <w:t>月</w:t>
      </w:r>
      <w:r>
        <w:rPr>
          <w:highlight w:val="none"/>
        </w:rPr>
        <w:t xml:space="preserve">   </w:t>
      </w:r>
      <w:r>
        <w:rPr>
          <w:rFonts w:hint="eastAsia"/>
          <w:highlight w:val="none"/>
        </w:rPr>
        <w:t>日</w:t>
      </w:r>
    </w:p>
    <w:p>
      <w:pPr>
        <w:pStyle w:val="11"/>
        <w:adjustRightInd w:val="0"/>
        <w:snapToGrid w:val="0"/>
        <w:spacing w:before="156" w:beforeLines="50" w:line="360" w:lineRule="auto"/>
        <w:rPr>
          <w:rFonts w:hAnsi="宋体"/>
          <w:highlight w:val="none"/>
        </w:rPr>
      </w:pPr>
    </w:p>
    <w:p>
      <w:pPr>
        <w:pStyle w:val="11"/>
        <w:adjustRightInd w:val="0"/>
        <w:snapToGrid w:val="0"/>
        <w:spacing w:before="156" w:beforeLines="50" w:line="360" w:lineRule="auto"/>
        <w:rPr>
          <w:highlight w:val="none"/>
        </w:rPr>
      </w:pPr>
      <w:r>
        <w:rPr>
          <w:rFonts w:hint="eastAsia"/>
          <w:highlight w:val="none"/>
        </w:rPr>
        <w:t>说明：《保证金退还申请书》需单独递交，不得装订在响应文件中；可在办理保证金交割手续时提交，也可在提交首次响应文件截止时间后补交，未交《保证金退还申请书》的供应商，将影响其保证金的正常退还。</w:t>
      </w:r>
    </w:p>
    <w:p>
      <w:pPr>
        <w:pStyle w:val="11"/>
        <w:adjustRightInd w:val="0"/>
        <w:snapToGrid w:val="0"/>
        <w:spacing w:before="156" w:beforeLines="50" w:line="360" w:lineRule="auto"/>
        <w:rPr>
          <w:highlight w:val="none"/>
        </w:rPr>
      </w:pPr>
    </w:p>
    <w:p>
      <w:pPr>
        <w:widowControl/>
        <w:jc w:val="left"/>
        <w:rPr>
          <w:rFonts w:ascii="宋体" w:hAnsi="Courier New" w:cs="宋体"/>
          <w:highlight w:val="none"/>
        </w:rPr>
      </w:pPr>
      <w:r>
        <w:rPr>
          <w:rFonts w:ascii="宋体" w:hAnsi="Courier New" w:cs="宋体"/>
          <w:highlight w:val="none"/>
        </w:rPr>
        <w:br w:type="page"/>
      </w:r>
    </w:p>
    <w:p>
      <w:pPr>
        <w:tabs>
          <w:tab w:val="left" w:pos="3600"/>
        </w:tabs>
        <w:adjustRightInd w:val="0"/>
        <w:snapToGrid w:val="0"/>
        <w:jc w:val="center"/>
        <w:rPr>
          <w:rFonts w:ascii="黑体" w:hAnsi="宋体" w:eastAsia="黑体" w:cs="Times New Roman"/>
          <w:b/>
          <w:bCs/>
          <w:sz w:val="30"/>
          <w:szCs w:val="30"/>
          <w:highlight w:val="none"/>
        </w:rPr>
      </w:pPr>
      <w:r>
        <w:rPr>
          <w:rFonts w:hint="eastAsia" w:ascii="黑体" w:hAnsi="黑体" w:eastAsia="黑体" w:cs="黑体"/>
          <w:b/>
          <w:bCs/>
          <w:sz w:val="32"/>
          <w:szCs w:val="32"/>
          <w:highlight w:val="none"/>
        </w:rPr>
        <w:t>三、联合体协议</w:t>
      </w:r>
      <w:r>
        <w:rPr>
          <w:rFonts w:ascii="黑体" w:hAnsi="黑体" w:eastAsia="黑体" w:cs="黑体"/>
          <w:b/>
          <w:bCs/>
          <w:sz w:val="32"/>
          <w:szCs w:val="32"/>
          <w:highlight w:val="none"/>
        </w:rPr>
        <w:t>(</w:t>
      </w:r>
      <w:r>
        <w:rPr>
          <w:rFonts w:hint="eastAsia" w:ascii="黑体" w:hAnsi="黑体" w:eastAsia="黑体" w:cs="黑体"/>
          <w:b/>
          <w:bCs/>
          <w:sz w:val="32"/>
          <w:szCs w:val="32"/>
          <w:highlight w:val="none"/>
        </w:rPr>
        <w:t>格式</w:t>
      </w:r>
      <w:r>
        <w:rPr>
          <w:rFonts w:ascii="黑体" w:hAnsi="黑体" w:eastAsia="黑体" w:cs="黑体"/>
          <w:b/>
          <w:bCs/>
          <w:sz w:val="32"/>
          <w:szCs w:val="32"/>
          <w:highlight w:val="none"/>
        </w:rPr>
        <w:t>)</w:t>
      </w:r>
      <w:r>
        <w:rPr>
          <w:rFonts w:hint="eastAsia" w:ascii="黑体" w:hAnsi="宋体" w:eastAsia="黑体" w:cs="黑体"/>
          <w:b/>
          <w:bCs/>
          <w:sz w:val="30"/>
          <w:szCs w:val="30"/>
          <w:highlight w:val="none"/>
        </w:rPr>
        <w:t>（本项目不适用）</w:t>
      </w:r>
    </w:p>
    <w:p>
      <w:pPr>
        <w:adjustRightInd w:val="0"/>
        <w:snapToGrid w:val="0"/>
        <w:spacing w:line="360" w:lineRule="auto"/>
        <w:rPr>
          <w:rFonts w:ascii="宋体" w:cs="Times New Roman"/>
          <w:sz w:val="24"/>
          <w:szCs w:val="24"/>
          <w:highlight w:val="none"/>
        </w:rPr>
      </w:pPr>
    </w:p>
    <w:p>
      <w:pPr>
        <w:adjustRightInd w:val="0"/>
        <w:snapToGrid w:val="0"/>
        <w:spacing w:line="360" w:lineRule="auto"/>
        <w:jc w:val="center"/>
        <w:rPr>
          <w:rFonts w:ascii="黑体" w:hAnsi="宋体" w:eastAsia="黑体" w:cs="Times New Roman"/>
          <w:b/>
          <w:bCs/>
          <w:sz w:val="32"/>
          <w:szCs w:val="32"/>
          <w:highlight w:val="none"/>
        </w:rPr>
      </w:pPr>
      <w:r>
        <w:rPr>
          <w:rFonts w:ascii="宋体" w:hAnsi="宋体"/>
          <w:highlight w:val="none"/>
        </w:rPr>
        <w:br w:type="page"/>
      </w:r>
      <w:r>
        <w:rPr>
          <w:rFonts w:hint="eastAsia" w:ascii="黑体" w:hAnsi="宋体" w:eastAsia="黑体" w:cs="黑体"/>
          <w:b/>
          <w:bCs/>
          <w:sz w:val="32"/>
          <w:szCs w:val="32"/>
          <w:highlight w:val="none"/>
        </w:rPr>
        <w:t>四</w:t>
      </w:r>
      <w:r>
        <w:rPr>
          <w:rFonts w:hint="eastAsia" w:ascii="黑体" w:eastAsia="黑体" w:cs="黑体"/>
          <w:b/>
          <w:bCs/>
          <w:sz w:val="32"/>
          <w:szCs w:val="32"/>
          <w:highlight w:val="none"/>
        </w:rPr>
        <w:t>、</w:t>
      </w:r>
      <w:r>
        <w:rPr>
          <w:rFonts w:hint="eastAsia" w:ascii="黑体" w:hAnsi="宋体" w:eastAsia="黑体" w:cs="黑体"/>
          <w:b/>
          <w:bCs/>
          <w:sz w:val="32"/>
          <w:szCs w:val="32"/>
          <w:highlight w:val="none"/>
        </w:rPr>
        <w:t>供应商的资格证明资料</w:t>
      </w:r>
    </w:p>
    <w:p>
      <w:pPr>
        <w:spacing w:line="480" w:lineRule="exact"/>
        <w:rPr>
          <w:rFonts w:ascii="黑体" w:eastAsia="黑体" w:cs="Times New Roman"/>
          <w:sz w:val="30"/>
          <w:szCs w:val="30"/>
          <w:highlight w:val="none"/>
        </w:rPr>
      </w:pPr>
      <w:r>
        <w:rPr>
          <w:rFonts w:hint="eastAsia" w:ascii="黑体" w:eastAsia="黑体" w:cs="黑体"/>
          <w:sz w:val="30"/>
          <w:szCs w:val="30"/>
          <w:highlight w:val="none"/>
        </w:rPr>
        <w:t>附件3</w:t>
      </w:r>
      <w:r>
        <w:rPr>
          <w:rFonts w:ascii="黑体" w:eastAsia="黑体" w:cs="黑体"/>
          <w:sz w:val="30"/>
          <w:szCs w:val="30"/>
          <w:highlight w:val="none"/>
        </w:rPr>
        <w:t xml:space="preserve">      </w:t>
      </w:r>
      <w:r>
        <w:rPr>
          <w:rFonts w:hint="eastAsia" w:ascii="黑体" w:eastAsia="黑体" w:cs="黑体"/>
          <w:sz w:val="30"/>
          <w:szCs w:val="30"/>
          <w:highlight w:val="none"/>
        </w:rPr>
        <w:t>磋商文件规定的基本资格条件证明资料</w:t>
      </w:r>
    </w:p>
    <w:p>
      <w:pPr>
        <w:spacing w:line="480" w:lineRule="exact"/>
        <w:rPr>
          <w:rFonts w:ascii="宋体" w:cs="Times New Roman"/>
          <w:highlight w:val="none"/>
        </w:rPr>
      </w:pPr>
      <w:r>
        <w:rPr>
          <w:rFonts w:hint="eastAsia" w:ascii="宋体" w:hAnsi="宋体" w:cs="宋体"/>
          <w:highlight w:val="none"/>
        </w:rPr>
        <w:t>备注：提供第二章磋商须知第</w:t>
      </w:r>
      <w:r>
        <w:rPr>
          <w:rFonts w:ascii="宋体" w:hAnsi="宋体" w:cs="宋体"/>
          <w:highlight w:val="none"/>
        </w:rPr>
        <w:t>3.1</w:t>
      </w:r>
      <w:r>
        <w:rPr>
          <w:rFonts w:hint="eastAsia" w:ascii="宋体" w:hAnsi="宋体" w:cs="宋体"/>
          <w:highlight w:val="none"/>
        </w:rPr>
        <w:t>款供应商基本资格条件证明资料的复印件。</w:t>
      </w:r>
    </w:p>
    <w:p>
      <w:pPr>
        <w:widowControl/>
        <w:adjustRightInd w:val="0"/>
        <w:snapToGrid w:val="0"/>
        <w:spacing w:before="156" w:beforeLines="50" w:line="360" w:lineRule="auto"/>
        <w:jc w:val="center"/>
        <w:rPr>
          <w:rFonts w:ascii="宋体" w:hAnsi="宋体" w:cs="宋体"/>
          <w:highlight w:val="none"/>
        </w:rPr>
      </w:pPr>
      <w:r>
        <w:rPr>
          <w:rFonts w:ascii="黑体" w:hAnsi="仿宋" w:eastAsia="黑体" w:cs="宋体"/>
          <w:b/>
          <w:sz w:val="28"/>
          <w:szCs w:val="28"/>
          <w:highlight w:val="none"/>
        </w:rPr>
        <w:br w:type="page"/>
      </w:r>
      <w:r>
        <w:rPr>
          <w:rFonts w:hint="eastAsia" w:ascii="黑体" w:hAnsi="仿宋" w:eastAsia="黑体" w:cs="宋体"/>
          <w:b/>
          <w:sz w:val="28"/>
          <w:szCs w:val="28"/>
          <w:highlight w:val="none"/>
        </w:rPr>
        <w:t>投标人资格声明(格式)</w:t>
      </w:r>
    </w:p>
    <w:p>
      <w:pPr>
        <w:widowControl/>
        <w:adjustRightInd w:val="0"/>
        <w:snapToGrid w:val="0"/>
        <w:jc w:val="left"/>
        <w:rPr>
          <w:rFonts w:ascii="宋体" w:hAnsi="宋体" w:cs="宋体"/>
          <w:kern w:val="0"/>
          <w:sz w:val="24"/>
          <w:szCs w:val="24"/>
          <w:highlight w:val="none"/>
        </w:rPr>
      </w:pPr>
      <w:r>
        <w:rPr>
          <w:rFonts w:hint="eastAsia" w:ascii="宋体" w:hAnsi="宋体" w:cs="宋体"/>
          <w:sz w:val="24"/>
          <w:szCs w:val="24"/>
          <w:highlight w:val="none"/>
        </w:rPr>
        <w:t>致</w:t>
      </w:r>
      <w:r>
        <w:rPr>
          <w:rFonts w:hint="eastAsia" w:ascii="宋体" w:hAnsi="宋体" w:cs="宋体"/>
          <w:sz w:val="24"/>
          <w:szCs w:val="24"/>
          <w:highlight w:val="none"/>
          <w:u w:val="single"/>
        </w:rPr>
        <w:t xml:space="preserve">            </w:t>
      </w:r>
      <w:r>
        <w:rPr>
          <w:rFonts w:hint="eastAsia" w:ascii="宋体" w:hAnsi="宋体" w:cs="宋体"/>
          <w:sz w:val="24"/>
          <w:szCs w:val="24"/>
          <w:highlight w:val="none"/>
        </w:rPr>
        <w:t>(采购人、采购代理机构)：</w:t>
      </w:r>
    </w:p>
    <w:p>
      <w:pPr>
        <w:widowControl/>
        <w:adjustRightInd w:val="0"/>
        <w:snapToGrid w:val="0"/>
        <w:ind w:firstLine="480" w:firstLineChars="200"/>
        <w:jc w:val="left"/>
        <w:rPr>
          <w:rFonts w:ascii="宋体" w:hAnsi="宋体" w:cs="宋体"/>
          <w:kern w:val="0"/>
          <w:sz w:val="24"/>
          <w:szCs w:val="24"/>
          <w:highlight w:val="none"/>
        </w:rPr>
      </w:pPr>
      <w:r>
        <w:rPr>
          <w:rFonts w:hint="eastAsia" w:ascii="宋体" w:hAnsi="宋体" w:cs="宋体"/>
          <w:sz w:val="24"/>
          <w:szCs w:val="24"/>
          <w:highlight w:val="none"/>
        </w:rPr>
        <w:t>按照《中华人民共和国政府采购法》第二十二条和招标文件的规定，我单位郑重声明如下：</w:t>
      </w:r>
    </w:p>
    <w:p>
      <w:pPr>
        <w:widowControl/>
        <w:adjustRightInd w:val="0"/>
        <w:snapToGrid w:val="0"/>
        <w:ind w:firstLine="480" w:firstLineChars="200"/>
        <w:jc w:val="left"/>
        <w:rPr>
          <w:rFonts w:ascii="宋体" w:hAnsi="宋体" w:cs="宋体"/>
          <w:kern w:val="0"/>
          <w:sz w:val="24"/>
          <w:szCs w:val="24"/>
          <w:highlight w:val="none"/>
        </w:rPr>
      </w:pPr>
      <w:r>
        <w:rPr>
          <w:rFonts w:hint="eastAsia" w:ascii="宋体" w:hAnsi="宋体" w:cs="宋体"/>
          <w:sz w:val="24"/>
          <w:szCs w:val="24"/>
          <w:highlight w:val="none"/>
        </w:rPr>
        <w:t>一、我单位是按照中华人民共和国法律规定登记注册的，注册地点为</w:t>
      </w:r>
      <w:r>
        <w:rPr>
          <w:rFonts w:hint="eastAsia" w:ascii="宋体" w:hAnsi="宋体" w:cs="宋体"/>
          <w:sz w:val="24"/>
          <w:szCs w:val="24"/>
          <w:highlight w:val="none"/>
          <w:u w:val="single"/>
        </w:rPr>
        <w:t xml:space="preserve">         </w:t>
      </w:r>
      <w:r>
        <w:rPr>
          <w:rFonts w:hint="eastAsia" w:ascii="宋体" w:hAnsi="宋体" w:cs="宋体"/>
          <w:sz w:val="24"/>
          <w:szCs w:val="24"/>
          <w:highlight w:val="none"/>
        </w:rPr>
        <w:t>，全称为</w:t>
      </w:r>
      <w:r>
        <w:rPr>
          <w:rFonts w:hint="eastAsia" w:ascii="宋体" w:hAnsi="宋体" w:cs="宋体"/>
          <w:sz w:val="24"/>
          <w:szCs w:val="24"/>
          <w:highlight w:val="none"/>
          <w:u w:val="single"/>
        </w:rPr>
        <w:t xml:space="preserve">        </w:t>
      </w:r>
      <w:r>
        <w:rPr>
          <w:rFonts w:hint="eastAsia" w:ascii="宋体" w:hAnsi="宋体" w:cs="宋体"/>
          <w:sz w:val="24"/>
          <w:szCs w:val="24"/>
          <w:highlight w:val="none"/>
        </w:rPr>
        <w:t>，统一社会信用代码为</w:t>
      </w:r>
      <w:r>
        <w:rPr>
          <w:rFonts w:hint="eastAsia" w:ascii="宋体" w:hAnsi="宋体" w:cs="宋体"/>
          <w:sz w:val="24"/>
          <w:szCs w:val="24"/>
          <w:highlight w:val="none"/>
          <w:u w:val="single"/>
        </w:rPr>
        <w:t xml:space="preserve">            </w:t>
      </w:r>
      <w:r>
        <w:rPr>
          <w:rFonts w:hint="eastAsia" w:ascii="宋体" w:hAnsi="宋体" w:cs="宋体"/>
          <w:sz w:val="24"/>
          <w:szCs w:val="24"/>
          <w:highlight w:val="none"/>
        </w:rPr>
        <w:t>，法定代表人</w:t>
      </w:r>
      <w:r>
        <w:rPr>
          <w:rFonts w:hint="eastAsia" w:ascii="宋体" w:hAnsi="宋体" w:cs="微软雅黑"/>
          <w:kern w:val="0"/>
          <w:sz w:val="24"/>
          <w:szCs w:val="24"/>
          <w:highlight w:val="none"/>
        </w:rPr>
        <w:t>（</w:t>
      </w:r>
      <w:r>
        <w:rPr>
          <w:rFonts w:hint="eastAsia" w:ascii="宋体" w:hAnsi="宋体" w:cs="微软雅黑"/>
          <w:spacing w:val="-2"/>
          <w:kern w:val="0"/>
          <w:sz w:val="24"/>
          <w:szCs w:val="24"/>
          <w:highlight w:val="none"/>
        </w:rPr>
        <w:t>单</w:t>
      </w:r>
      <w:r>
        <w:rPr>
          <w:rFonts w:hint="eastAsia" w:ascii="宋体" w:hAnsi="宋体" w:cs="微软雅黑"/>
          <w:kern w:val="0"/>
          <w:sz w:val="24"/>
          <w:szCs w:val="24"/>
          <w:highlight w:val="none"/>
        </w:rPr>
        <w:t>位</w:t>
      </w:r>
      <w:r>
        <w:rPr>
          <w:rFonts w:hint="eastAsia" w:ascii="宋体" w:hAnsi="宋体" w:cs="微软雅黑"/>
          <w:spacing w:val="-2"/>
          <w:kern w:val="0"/>
          <w:sz w:val="24"/>
          <w:szCs w:val="24"/>
          <w:highlight w:val="none"/>
        </w:rPr>
        <w:t>负</w:t>
      </w:r>
      <w:r>
        <w:rPr>
          <w:rFonts w:hint="eastAsia" w:ascii="宋体" w:hAnsi="宋体" w:cs="微软雅黑"/>
          <w:kern w:val="0"/>
          <w:sz w:val="24"/>
          <w:szCs w:val="24"/>
          <w:highlight w:val="none"/>
        </w:rPr>
        <w:t>责人</w:t>
      </w:r>
      <w:r>
        <w:rPr>
          <w:rFonts w:hint="eastAsia" w:ascii="宋体" w:hAnsi="宋体" w:cs="微软雅黑"/>
          <w:spacing w:val="-2"/>
          <w:kern w:val="0"/>
          <w:sz w:val="24"/>
          <w:szCs w:val="24"/>
          <w:highlight w:val="none"/>
        </w:rPr>
        <w:t>）</w:t>
      </w:r>
      <w:r>
        <w:rPr>
          <w:rFonts w:hint="eastAsia" w:ascii="宋体" w:hAnsi="宋体" w:cs="宋体"/>
          <w:sz w:val="24"/>
          <w:szCs w:val="24"/>
          <w:highlight w:val="none"/>
        </w:rPr>
        <w:t>为</w:t>
      </w:r>
      <w:r>
        <w:rPr>
          <w:rFonts w:hint="eastAsia" w:ascii="宋体" w:hAnsi="宋体" w:cs="宋体"/>
          <w:sz w:val="24"/>
          <w:szCs w:val="24"/>
          <w:highlight w:val="none"/>
          <w:u w:val="single"/>
        </w:rPr>
        <w:t xml:space="preserve">         </w:t>
      </w:r>
      <w:r>
        <w:rPr>
          <w:rFonts w:hint="eastAsia" w:ascii="宋体" w:hAnsi="宋体" w:cs="宋体"/>
          <w:sz w:val="24"/>
          <w:szCs w:val="24"/>
          <w:highlight w:val="none"/>
        </w:rPr>
        <w:t>，具有独立承担民事责任的能力。</w:t>
      </w:r>
    </w:p>
    <w:p>
      <w:pPr>
        <w:widowControl/>
        <w:adjustRightInd w:val="0"/>
        <w:snapToGrid w:val="0"/>
        <w:ind w:firstLine="480" w:firstLineChars="200"/>
        <w:jc w:val="left"/>
        <w:rPr>
          <w:rFonts w:ascii="宋体" w:hAnsi="宋体" w:cs="宋体"/>
          <w:sz w:val="24"/>
          <w:szCs w:val="24"/>
          <w:highlight w:val="none"/>
        </w:rPr>
      </w:pPr>
      <w:r>
        <w:rPr>
          <w:rFonts w:hint="eastAsia" w:ascii="宋体" w:hAnsi="宋体" w:cs="宋体"/>
          <w:sz w:val="24"/>
          <w:szCs w:val="24"/>
          <w:highlight w:val="none"/>
        </w:rPr>
        <w:t>二、我单位未被</w:t>
      </w:r>
      <w:r>
        <w:rPr>
          <w:rFonts w:hint="eastAsia" w:ascii="华文中宋" w:hAnsi="华文中宋" w:eastAsia="华文中宋" w:cs="宋体"/>
          <w:sz w:val="24"/>
          <w:szCs w:val="24"/>
          <w:highlight w:val="none"/>
        </w:rPr>
        <w:t>“</w:t>
      </w:r>
      <w:r>
        <w:rPr>
          <w:rFonts w:hint="eastAsia" w:ascii="宋体" w:hAnsi="宋体" w:cs="宋体"/>
          <w:sz w:val="24"/>
          <w:szCs w:val="24"/>
          <w:highlight w:val="none"/>
        </w:rPr>
        <w:t>国家企业信用信息系统</w:t>
      </w:r>
      <w:r>
        <w:rPr>
          <w:rFonts w:hint="eastAsia" w:ascii="华文中宋" w:hAnsi="华文中宋" w:eastAsia="华文中宋" w:cs="宋体"/>
          <w:sz w:val="24"/>
          <w:szCs w:val="24"/>
          <w:highlight w:val="none"/>
        </w:rPr>
        <w:t>”</w:t>
      </w:r>
      <w:r>
        <w:rPr>
          <w:rFonts w:hint="eastAsia" w:ascii="宋体" w:hAnsi="宋体" w:cs="宋体"/>
          <w:sz w:val="24"/>
          <w:szCs w:val="24"/>
          <w:highlight w:val="none"/>
        </w:rPr>
        <w:t>列入经营异常名录或者严重违法企业名单。</w:t>
      </w:r>
    </w:p>
    <w:p>
      <w:pPr>
        <w:widowControl/>
        <w:adjustRightInd w:val="0"/>
        <w:snapToGrid w:val="0"/>
        <w:ind w:firstLine="480" w:firstLineChars="200"/>
        <w:jc w:val="left"/>
        <w:rPr>
          <w:rFonts w:ascii="宋体" w:hAnsi="宋体" w:cs="宋体"/>
          <w:sz w:val="24"/>
          <w:szCs w:val="24"/>
          <w:highlight w:val="none"/>
        </w:rPr>
      </w:pPr>
      <w:r>
        <w:rPr>
          <w:rFonts w:hint="eastAsia" w:ascii="宋体" w:hAnsi="宋体" w:cs="宋体"/>
          <w:kern w:val="0"/>
          <w:sz w:val="24"/>
          <w:szCs w:val="24"/>
          <w:highlight w:val="none"/>
        </w:rPr>
        <w:t>三、</w:t>
      </w:r>
      <w:r>
        <w:rPr>
          <w:rFonts w:hint="eastAsia" w:ascii="宋体" w:hAnsi="宋体" w:cs="宋体"/>
          <w:sz w:val="24"/>
          <w:szCs w:val="24"/>
          <w:highlight w:val="none"/>
        </w:rPr>
        <w:t>我单位具有良好的商业信誉和健全的财务会计制度。</w:t>
      </w:r>
    </w:p>
    <w:p>
      <w:pPr>
        <w:widowControl/>
        <w:adjustRightInd w:val="0"/>
        <w:snapToGrid w:val="0"/>
        <w:ind w:firstLine="480" w:firstLineChars="200"/>
        <w:jc w:val="left"/>
        <w:rPr>
          <w:rFonts w:ascii="宋体" w:hAnsi="宋体" w:cs="宋体"/>
          <w:kern w:val="0"/>
          <w:sz w:val="24"/>
          <w:szCs w:val="24"/>
          <w:highlight w:val="none"/>
        </w:rPr>
      </w:pPr>
      <w:r>
        <w:rPr>
          <w:rFonts w:hint="eastAsia" w:ascii="宋体" w:hAnsi="宋体" w:cs="宋体"/>
          <w:kern w:val="0"/>
          <w:sz w:val="24"/>
          <w:szCs w:val="24"/>
          <w:highlight w:val="none"/>
        </w:rPr>
        <w:t>四、我</w:t>
      </w:r>
      <w:r>
        <w:rPr>
          <w:rFonts w:hint="eastAsia" w:ascii="宋体" w:hAnsi="宋体" w:cs="宋体"/>
          <w:sz w:val="24"/>
          <w:szCs w:val="24"/>
          <w:highlight w:val="none"/>
        </w:rPr>
        <w:t>单位</w:t>
      </w:r>
      <w:r>
        <w:rPr>
          <w:rFonts w:hint="eastAsia" w:ascii="宋体" w:hAnsi="宋体" w:cs="宋体"/>
          <w:kern w:val="0"/>
          <w:sz w:val="24"/>
          <w:szCs w:val="24"/>
          <w:highlight w:val="none"/>
        </w:rPr>
        <w:t>依法进行纳税和社会保险申报并实际履行了义务。</w:t>
      </w:r>
    </w:p>
    <w:p>
      <w:pPr>
        <w:widowControl/>
        <w:adjustRightInd w:val="0"/>
        <w:snapToGrid w:val="0"/>
        <w:ind w:firstLine="480" w:firstLineChars="200"/>
        <w:jc w:val="left"/>
        <w:rPr>
          <w:rFonts w:ascii="宋体" w:hAnsi="宋体" w:cs="宋体"/>
          <w:kern w:val="0"/>
          <w:sz w:val="24"/>
          <w:szCs w:val="24"/>
          <w:highlight w:val="none"/>
        </w:rPr>
      </w:pPr>
      <w:r>
        <w:rPr>
          <w:rFonts w:hint="eastAsia" w:ascii="宋体" w:hAnsi="宋体" w:cs="宋体"/>
          <w:sz w:val="24"/>
          <w:szCs w:val="24"/>
          <w:highlight w:val="none"/>
        </w:rPr>
        <w:t>五、我单位具有履行本项目采购合同所必需的设备和专业技术能力，并具有履行合同的良好</w:t>
      </w:r>
      <w:r>
        <w:rPr>
          <w:rFonts w:ascii="宋体" w:hAnsi="宋体" w:cs="Times New Roman"/>
          <w:sz w:val="24"/>
          <w:szCs w:val="24"/>
          <w:highlight w:val="none"/>
        </w:rPr>
        <w:t>记录</w:t>
      </w:r>
      <w:r>
        <w:rPr>
          <w:rFonts w:hint="eastAsia" w:ascii="宋体" w:hAnsi="宋体" w:cs="宋体"/>
          <w:sz w:val="24"/>
          <w:szCs w:val="24"/>
          <w:highlight w:val="none"/>
        </w:rPr>
        <w:t>。</w:t>
      </w:r>
    </w:p>
    <w:p>
      <w:pPr>
        <w:widowControl/>
        <w:adjustRightInd w:val="0"/>
        <w:snapToGrid w:val="0"/>
        <w:ind w:firstLine="480" w:firstLineChars="200"/>
        <w:jc w:val="left"/>
        <w:rPr>
          <w:rFonts w:ascii="宋体" w:hAnsi="宋体" w:cs="宋体"/>
          <w:sz w:val="24"/>
          <w:szCs w:val="24"/>
          <w:highlight w:val="none"/>
        </w:rPr>
      </w:pPr>
      <w:r>
        <w:rPr>
          <w:rFonts w:hint="eastAsia" w:ascii="宋体" w:hAnsi="宋体" w:cs="宋体"/>
          <w:sz w:val="24"/>
          <w:szCs w:val="24"/>
          <w:highlight w:val="none"/>
        </w:rPr>
        <w:t>六、我单位在参加采购项目政府采购活动前三年内，在经营活动中，未因违法经营受到刑事处罚或者责令停产停业、吊销许可证或者执照、较大数额罚款等行政处罚。其中较大数额罚款是指：达到处罚地行政处罚听证范围中“较大数额罚款”标准的；法律、法规、规章、国务院有关行政主管部门对“较大数额罚款”标准另有规定的，从其规定。</w:t>
      </w:r>
    </w:p>
    <w:p>
      <w:pPr>
        <w:widowControl/>
        <w:adjustRightInd w:val="0"/>
        <w:snapToGrid w:val="0"/>
        <w:ind w:firstLine="480" w:firstLineChars="200"/>
        <w:jc w:val="left"/>
        <w:rPr>
          <w:rFonts w:ascii="宋体" w:hAnsi="宋体" w:cs="宋体"/>
          <w:sz w:val="24"/>
          <w:szCs w:val="24"/>
          <w:highlight w:val="none"/>
        </w:rPr>
      </w:pPr>
      <w:r>
        <w:rPr>
          <w:rFonts w:hint="eastAsia" w:ascii="宋体" w:hAnsi="宋体" w:cs="宋体"/>
          <w:sz w:val="24"/>
          <w:szCs w:val="24"/>
          <w:highlight w:val="none"/>
        </w:rPr>
        <w:t>供应商在参加政府采购活动前3年内因违法经营被禁止在一定期限内参加政府采购活动，期限届满的，可以参加政府采购活动。</w:t>
      </w:r>
    </w:p>
    <w:p>
      <w:pPr>
        <w:widowControl/>
        <w:adjustRightInd w:val="0"/>
        <w:snapToGrid w:val="0"/>
        <w:ind w:firstLine="480" w:firstLineChars="200"/>
        <w:jc w:val="left"/>
        <w:rPr>
          <w:rFonts w:ascii="宋体" w:hAnsi="宋体" w:cs="宋体"/>
          <w:sz w:val="24"/>
          <w:szCs w:val="24"/>
          <w:highlight w:val="none"/>
        </w:rPr>
      </w:pPr>
      <w:r>
        <w:rPr>
          <w:rFonts w:hint="eastAsia" w:ascii="宋体" w:hAnsi="宋体" w:cs="宋体"/>
          <w:sz w:val="24"/>
          <w:szCs w:val="24"/>
          <w:highlight w:val="none"/>
        </w:rPr>
        <w:t>七、我单位具备法律、行政法规规定的其他条件。</w:t>
      </w:r>
    </w:p>
    <w:p>
      <w:pPr>
        <w:widowControl/>
        <w:adjustRightInd w:val="0"/>
        <w:snapToGrid w:val="0"/>
        <w:ind w:firstLine="480" w:firstLineChars="200"/>
        <w:jc w:val="left"/>
        <w:rPr>
          <w:rFonts w:ascii="Times New Roman" w:hAnsi="Times New Roman" w:cs="Times New Roman"/>
          <w:sz w:val="24"/>
          <w:szCs w:val="24"/>
          <w:highlight w:val="none"/>
        </w:rPr>
      </w:pPr>
      <w:r>
        <w:rPr>
          <w:rFonts w:hint="eastAsia" w:ascii="宋体" w:hAnsi="宋体" w:cs="宋体"/>
          <w:kern w:val="0"/>
          <w:sz w:val="24"/>
          <w:szCs w:val="24"/>
          <w:highlight w:val="none"/>
        </w:rPr>
        <w:t>八、</w:t>
      </w:r>
      <w:r>
        <w:rPr>
          <w:rFonts w:hint="eastAsia" w:ascii="Times New Roman" w:hAnsi="Times New Roman" w:cs="Times New Roman"/>
          <w:sz w:val="24"/>
          <w:szCs w:val="24"/>
          <w:highlight w:val="none"/>
        </w:rPr>
        <w:t>与我单位存在“单位负责人为同一人或者存在直接控股、管理关系”的其他单位信息如下（如无，填写“无”）：</w:t>
      </w:r>
    </w:p>
    <w:p>
      <w:pPr>
        <w:adjustRightInd w:val="0"/>
        <w:snapToGrid w:val="0"/>
        <w:ind w:firstLine="480" w:firstLineChars="200"/>
        <w:rPr>
          <w:rFonts w:ascii="Times New Roman" w:hAnsi="Times New Roman" w:cs="Times New Roman"/>
          <w:sz w:val="24"/>
          <w:szCs w:val="24"/>
          <w:highlight w:val="none"/>
        </w:rPr>
      </w:pPr>
      <w:r>
        <w:rPr>
          <w:rFonts w:hint="eastAsia" w:ascii="宋体" w:hAnsi="宋体" w:cs="Times New Roman"/>
          <w:sz w:val="24"/>
          <w:szCs w:val="24"/>
          <w:highlight w:val="none"/>
        </w:rPr>
        <w:t>1、</w:t>
      </w:r>
      <w:r>
        <w:rPr>
          <w:rFonts w:hint="eastAsia" w:ascii="Times New Roman" w:hAnsi="Times New Roman" w:cs="Times New Roman"/>
          <w:sz w:val="24"/>
          <w:szCs w:val="24"/>
          <w:highlight w:val="none"/>
        </w:rPr>
        <w:t>与我单位的法定代表人（单位负责人）为同一人的其他单位如下：</w:t>
      </w:r>
      <w:r>
        <w:rPr>
          <w:rFonts w:hint="eastAsia" w:ascii="宋体" w:hAnsi="宋体" w:cs="Times New Roman"/>
          <w:sz w:val="24"/>
          <w:szCs w:val="24"/>
          <w:highlight w:val="none"/>
          <w:u w:val="single"/>
        </w:rPr>
        <w:t xml:space="preserve">               </w:t>
      </w:r>
    </w:p>
    <w:p>
      <w:pPr>
        <w:adjustRightInd w:val="0"/>
        <w:snapToGrid w:val="0"/>
        <w:ind w:firstLine="480" w:firstLineChars="200"/>
        <w:rPr>
          <w:rFonts w:ascii="宋体" w:hAnsi="宋体" w:cs="Times New Roman"/>
          <w:sz w:val="24"/>
          <w:szCs w:val="24"/>
          <w:highlight w:val="none"/>
        </w:rPr>
      </w:pPr>
      <w:r>
        <w:rPr>
          <w:rFonts w:hint="eastAsia" w:ascii="宋体" w:hAnsi="宋体" w:cs="Times New Roman"/>
          <w:sz w:val="24"/>
          <w:szCs w:val="24"/>
          <w:highlight w:val="none"/>
        </w:rPr>
        <w:t>2、我</w:t>
      </w:r>
      <w:r>
        <w:rPr>
          <w:rFonts w:hint="eastAsia" w:ascii="Times New Roman" w:hAnsi="Times New Roman" w:cs="Times New Roman"/>
          <w:sz w:val="24"/>
          <w:szCs w:val="24"/>
          <w:highlight w:val="none"/>
        </w:rPr>
        <w:t>单位</w:t>
      </w:r>
      <w:r>
        <w:rPr>
          <w:rFonts w:hint="eastAsia" w:ascii="宋体" w:hAnsi="宋体" w:cs="Times New Roman"/>
          <w:sz w:val="24"/>
          <w:szCs w:val="24"/>
          <w:highlight w:val="none"/>
        </w:rPr>
        <w:t>直接控股的其他单位如下：</w:t>
      </w:r>
      <w:r>
        <w:rPr>
          <w:rFonts w:hint="eastAsia" w:ascii="宋体" w:hAnsi="宋体" w:cs="Times New Roman"/>
          <w:sz w:val="24"/>
          <w:szCs w:val="24"/>
          <w:highlight w:val="none"/>
          <w:u w:val="single"/>
        </w:rPr>
        <w:t xml:space="preserve">               </w:t>
      </w:r>
    </w:p>
    <w:p>
      <w:pPr>
        <w:adjustRightInd w:val="0"/>
        <w:snapToGrid w:val="0"/>
        <w:ind w:firstLine="480" w:firstLineChars="200"/>
        <w:rPr>
          <w:rFonts w:ascii="Times New Roman" w:hAnsi="Times New Roman" w:cs="Times New Roman"/>
          <w:sz w:val="24"/>
          <w:szCs w:val="24"/>
          <w:highlight w:val="none"/>
        </w:rPr>
      </w:pPr>
      <w:r>
        <w:rPr>
          <w:rFonts w:hint="eastAsia" w:ascii="宋体" w:hAnsi="宋体" w:cs="Times New Roman"/>
          <w:sz w:val="24"/>
          <w:szCs w:val="24"/>
          <w:highlight w:val="none"/>
        </w:rPr>
        <w:t>3、与我</w:t>
      </w:r>
      <w:r>
        <w:rPr>
          <w:rFonts w:hint="eastAsia" w:ascii="Times New Roman" w:hAnsi="Times New Roman" w:cs="Times New Roman"/>
          <w:sz w:val="24"/>
          <w:szCs w:val="24"/>
          <w:highlight w:val="none"/>
        </w:rPr>
        <w:t>单位存在</w:t>
      </w:r>
      <w:r>
        <w:rPr>
          <w:rFonts w:hint="eastAsia" w:ascii="宋体" w:hAnsi="宋体" w:cs="Times New Roman"/>
          <w:sz w:val="24"/>
          <w:szCs w:val="24"/>
          <w:highlight w:val="none"/>
        </w:rPr>
        <w:t>管理关系的其他单位如下：</w:t>
      </w:r>
      <w:r>
        <w:rPr>
          <w:rFonts w:hint="eastAsia" w:ascii="宋体" w:hAnsi="宋体" w:cs="Times New Roman"/>
          <w:sz w:val="24"/>
          <w:szCs w:val="24"/>
          <w:highlight w:val="none"/>
          <w:u w:val="single"/>
        </w:rPr>
        <w:t xml:space="preserve">               </w:t>
      </w:r>
    </w:p>
    <w:p>
      <w:pPr>
        <w:widowControl/>
        <w:adjustRightInd w:val="0"/>
        <w:snapToGrid w:val="0"/>
        <w:ind w:firstLine="480" w:firstLineChars="200"/>
        <w:jc w:val="left"/>
        <w:rPr>
          <w:rFonts w:ascii="Times New Roman" w:hAnsi="Times New Roman" w:cs="Times New Roman"/>
          <w:sz w:val="24"/>
          <w:szCs w:val="24"/>
          <w:highlight w:val="none"/>
        </w:rPr>
      </w:pPr>
      <w:r>
        <w:rPr>
          <w:rFonts w:hint="eastAsia" w:ascii="宋体" w:hAnsi="宋体" w:cs="Times New Roman"/>
          <w:sz w:val="24"/>
          <w:szCs w:val="24"/>
          <w:highlight w:val="none"/>
        </w:rPr>
        <w:t>九、</w:t>
      </w:r>
      <w:r>
        <w:rPr>
          <w:rFonts w:ascii="宋体" w:hAnsi="宋体" w:cs="Times New Roman"/>
          <w:sz w:val="24"/>
          <w:szCs w:val="24"/>
          <w:highlight w:val="none"/>
        </w:rPr>
        <w:t>我</w:t>
      </w:r>
      <w:r>
        <w:rPr>
          <w:rFonts w:hint="eastAsia" w:ascii="宋体" w:hAnsi="宋体" w:cs="Times New Roman"/>
          <w:sz w:val="24"/>
          <w:szCs w:val="24"/>
          <w:highlight w:val="none"/>
        </w:rPr>
        <w:t>单位</w:t>
      </w:r>
      <w:r>
        <w:rPr>
          <w:rFonts w:ascii="宋体" w:hAnsi="宋体" w:cs="Times New Roman"/>
          <w:sz w:val="24"/>
          <w:szCs w:val="24"/>
          <w:highlight w:val="none"/>
        </w:rPr>
        <w:t>不属于为本项目提供整体设计、规范编制或者项目管理、监理、检测等服务的投标人。</w:t>
      </w:r>
    </w:p>
    <w:p>
      <w:pPr>
        <w:widowControl/>
        <w:adjustRightInd w:val="0"/>
        <w:snapToGrid w:val="0"/>
        <w:ind w:firstLine="480" w:firstLineChars="200"/>
        <w:jc w:val="left"/>
        <w:rPr>
          <w:rFonts w:ascii="宋体" w:hAnsi="宋体" w:cs="Times New Roman"/>
          <w:sz w:val="24"/>
          <w:szCs w:val="24"/>
          <w:highlight w:val="none"/>
        </w:rPr>
      </w:pPr>
      <w:r>
        <w:rPr>
          <w:rFonts w:hint="eastAsia" w:ascii="宋体" w:hAnsi="宋体" w:cs="Times New Roman"/>
          <w:sz w:val="24"/>
          <w:szCs w:val="24"/>
          <w:highlight w:val="none"/>
        </w:rPr>
        <w:t>十、</w:t>
      </w:r>
      <w:r>
        <w:rPr>
          <w:rFonts w:ascii="宋体" w:hAnsi="宋体" w:cs="Times New Roman"/>
          <w:sz w:val="24"/>
          <w:szCs w:val="24"/>
          <w:highlight w:val="none"/>
        </w:rPr>
        <w:t>我单位无以下不良信用记录情形：</w:t>
      </w:r>
    </w:p>
    <w:p>
      <w:pPr>
        <w:widowControl/>
        <w:adjustRightInd w:val="0"/>
        <w:snapToGrid w:val="0"/>
        <w:ind w:firstLine="480" w:firstLineChars="200"/>
        <w:jc w:val="left"/>
        <w:rPr>
          <w:rFonts w:ascii="宋体" w:hAnsi="宋体" w:cs="Times New Roman"/>
          <w:sz w:val="24"/>
          <w:szCs w:val="24"/>
          <w:highlight w:val="none"/>
        </w:rPr>
      </w:pPr>
      <w:r>
        <w:rPr>
          <w:rFonts w:ascii="宋体" w:hAnsi="宋体" w:cs="Times New Roman"/>
          <w:sz w:val="24"/>
          <w:szCs w:val="24"/>
          <w:highlight w:val="none"/>
        </w:rPr>
        <w:t>1</w:t>
      </w:r>
      <w:r>
        <w:rPr>
          <w:rFonts w:hint="eastAsia" w:ascii="宋体" w:hAnsi="宋体" w:cs="Times New Roman"/>
          <w:sz w:val="24"/>
          <w:szCs w:val="24"/>
          <w:highlight w:val="none"/>
        </w:rPr>
        <w:t>、在</w:t>
      </w:r>
      <w:r>
        <w:rPr>
          <w:rFonts w:hint="eastAsia" w:ascii="宋体" w:hAnsi="宋体" w:cs="宋体"/>
          <w:sz w:val="24"/>
          <w:szCs w:val="24"/>
          <w:highlight w:val="none"/>
        </w:rPr>
        <w:t>“信用中国”网站被列入失信被执行人和重大税收违法案件当事人名单；</w:t>
      </w:r>
    </w:p>
    <w:p>
      <w:pPr>
        <w:widowControl/>
        <w:adjustRightInd w:val="0"/>
        <w:snapToGrid w:val="0"/>
        <w:ind w:firstLine="480" w:firstLineChars="200"/>
        <w:jc w:val="left"/>
        <w:rPr>
          <w:rFonts w:ascii="宋体" w:hAnsi="宋体" w:cs="Times New Roman"/>
          <w:sz w:val="24"/>
          <w:szCs w:val="24"/>
          <w:highlight w:val="none"/>
        </w:rPr>
      </w:pPr>
      <w:r>
        <w:rPr>
          <w:rFonts w:ascii="宋体" w:hAnsi="宋体" w:cs="Times New Roman"/>
          <w:sz w:val="24"/>
          <w:szCs w:val="24"/>
          <w:highlight w:val="none"/>
        </w:rPr>
        <w:t>2</w:t>
      </w:r>
      <w:r>
        <w:rPr>
          <w:rFonts w:hint="eastAsia" w:ascii="宋体" w:hAnsi="宋体" w:cs="Times New Roman"/>
          <w:sz w:val="24"/>
          <w:szCs w:val="24"/>
          <w:highlight w:val="none"/>
        </w:rPr>
        <w:t>、在</w:t>
      </w:r>
      <w:r>
        <w:rPr>
          <w:rFonts w:hint="eastAsia" w:ascii="宋体" w:hAnsi="宋体" w:cs="宋体"/>
          <w:sz w:val="24"/>
          <w:szCs w:val="24"/>
          <w:highlight w:val="none"/>
        </w:rPr>
        <w:t>“中国政府采购网”网站被列入政府采购严重违法失信行为记录名单；</w:t>
      </w:r>
    </w:p>
    <w:p>
      <w:pPr>
        <w:widowControl/>
        <w:adjustRightInd w:val="0"/>
        <w:snapToGrid w:val="0"/>
        <w:ind w:firstLine="480" w:firstLineChars="200"/>
        <w:jc w:val="left"/>
        <w:rPr>
          <w:rFonts w:ascii="宋体" w:hAnsi="宋体" w:cs="Times New Roman"/>
          <w:sz w:val="24"/>
          <w:szCs w:val="24"/>
          <w:highlight w:val="none"/>
        </w:rPr>
      </w:pPr>
      <w:r>
        <w:rPr>
          <w:rFonts w:ascii="宋体" w:hAnsi="宋体" w:cs="Times New Roman"/>
          <w:sz w:val="24"/>
          <w:szCs w:val="24"/>
          <w:highlight w:val="none"/>
        </w:rPr>
        <w:t>3</w:t>
      </w:r>
      <w:r>
        <w:rPr>
          <w:rFonts w:hint="eastAsia" w:ascii="宋体" w:hAnsi="宋体" w:cs="Times New Roman"/>
          <w:sz w:val="24"/>
          <w:szCs w:val="24"/>
          <w:highlight w:val="none"/>
        </w:rPr>
        <w:t>、</w:t>
      </w:r>
      <w:r>
        <w:rPr>
          <w:rFonts w:ascii="宋体" w:hAnsi="宋体" w:cs="Times New Roman"/>
          <w:sz w:val="24"/>
          <w:szCs w:val="24"/>
          <w:highlight w:val="none"/>
        </w:rPr>
        <w:t>不符合《政府采购法》第二十二条规定的条件。</w:t>
      </w:r>
    </w:p>
    <w:p>
      <w:pPr>
        <w:widowControl/>
        <w:adjustRightInd w:val="0"/>
        <w:snapToGrid w:val="0"/>
        <w:ind w:firstLine="480" w:firstLineChars="200"/>
        <w:jc w:val="left"/>
        <w:rPr>
          <w:rFonts w:ascii="宋体" w:hAnsi="宋体" w:cs="宋体"/>
          <w:kern w:val="0"/>
          <w:sz w:val="24"/>
          <w:szCs w:val="24"/>
          <w:highlight w:val="none"/>
        </w:rPr>
      </w:pPr>
      <w:r>
        <w:rPr>
          <w:rFonts w:hint="eastAsia" w:ascii="宋体" w:hAnsi="宋体" w:cs="宋体"/>
          <w:sz w:val="24"/>
          <w:szCs w:val="24"/>
          <w:highlight w:val="none"/>
        </w:rPr>
        <w:t>我单位保证上述声明的事项都是真实的，如有虚假，我单位愿意承担相应的法律责任，并承担因此所造成的一切损失。</w:t>
      </w:r>
    </w:p>
    <w:p>
      <w:pPr>
        <w:widowControl/>
        <w:adjustRightInd w:val="0"/>
        <w:snapToGrid w:val="0"/>
        <w:jc w:val="left"/>
        <w:rPr>
          <w:rFonts w:ascii="宋体" w:hAnsi="宋体" w:cs="宋体"/>
          <w:sz w:val="24"/>
          <w:szCs w:val="24"/>
          <w:highlight w:val="none"/>
        </w:rPr>
      </w:pPr>
    </w:p>
    <w:p>
      <w:pPr>
        <w:widowControl/>
        <w:adjustRightInd w:val="0"/>
        <w:snapToGrid w:val="0"/>
        <w:jc w:val="left"/>
        <w:rPr>
          <w:rFonts w:ascii="宋体" w:hAnsi="宋体" w:cs="宋体"/>
          <w:sz w:val="24"/>
          <w:szCs w:val="24"/>
          <w:highlight w:val="none"/>
        </w:rPr>
      </w:pPr>
      <w:r>
        <w:rPr>
          <w:rFonts w:hint="eastAsia" w:ascii="宋体" w:hAnsi="宋体" w:cs="宋体"/>
          <w:sz w:val="24"/>
          <w:szCs w:val="24"/>
          <w:highlight w:val="none"/>
        </w:rPr>
        <w:t>注：第三条“良好的商业信誉”是指投标人经营状况良好，无本资格声明第十条情形。</w:t>
      </w:r>
    </w:p>
    <w:p>
      <w:pPr>
        <w:widowControl/>
        <w:adjustRightInd w:val="0"/>
        <w:snapToGrid w:val="0"/>
        <w:jc w:val="left"/>
        <w:rPr>
          <w:rFonts w:ascii="宋体" w:hAnsi="宋体" w:cs="宋体"/>
          <w:color w:val="FF0000"/>
          <w:sz w:val="24"/>
          <w:szCs w:val="24"/>
          <w:highlight w:val="none"/>
        </w:rPr>
      </w:pPr>
    </w:p>
    <w:p>
      <w:pPr>
        <w:widowControl/>
        <w:adjustRightInd w:val="0"/>
        <w:snapToGrid w:val="0"/>
        <w:jc w:val="left"/>
        <w:rPr>
          <w:rFonts w:ascii="宋体" w:hAnsi="宋体" w:cs="宋体"/>
          <w:kern w:val="0"/>
          <w:sz w:val="24"/>
          <w:szCs w:val="24"/>
          <w:highlight w:val="none"/>
        </w:rPr>
      </w:pPr>
      <w:r>
        <w:rPr>
          <w:rFonts w:hint="eastAsia" w:ascii="宋体" w:hAnsi="宋体" w:cs="宋体"/>
          <w:sz w:val="24"/>
          <w:szCs w:val="24"/>
          <w:highlight w:val="none"/>
        </w:rPr>
        <w:t>供应商名称（盖单位公章）：</w:t>
      </w:r>
    </w:p>
    <w:p>
      <w:pPr>
        <w:widowControl/>
        <w:adjustRightInd w:val="0"/>
        <w:snapToGrid w:val="0"/>
        <w:jc w:val="left"/>
        <w:rPr>
          <w:rFonts w:ascii="宋体" w:hAnsi="宋体" w:cs="宋体"/>
          <w:b/>
          <w:bCs/>
          <w:kern w:val="0"/>
          <w:sz w:val="24"/>
          <w:szCs w:val="24"/>
          <w:highlight w:val="none"/>
        </w:rPr>
      </w:pPr>
      <w:r>
        <w:rPr>
          <w:rFonts w:hint="eastAsia" w:ascii="宋体" w:hAnsi="宋体" w:cs="微软雅黑"/>
          <w:spacing w:val="-2"/>
          <w:kern w:val="0"/>
          <w:sz w:val="24"/>
          <w:szCs w:val="24"/>
          <w:highlight w:val="none"/>
        </w:rPr>
        <w:t>法</w:t>
      </w:r>
      <w:r>
        <w:rPr>
          <w:rFonts w:hint="eastAsia" w:ascii="宋体" w:hAnsi="宋体" w:cs="微软雅黑"/>
          <w:kern w:val="0"/>
          <w:sz w:val="24"/>
          <w:szCs w:val="24"/>
          <w:highlight w:val="none"/>
        </w:rPr>
        <w:t>定</w:t>
      </w:r>
      <w:r>
        <w:rPr>
          <w:rFonts w:hint="eastAsia" w:ascii="宋体" w:hAnsi="宋体" w:cs="微软雅黑"/>
          <w:spacing w:val="-2"/>
          <w:kern w:val="0"/>
          <w:sz w:val="24"/>
          <w:szCs w:val="24"/>
          <w:highlight w:val="none"/>
        </w:rPr>
        <w:t>代</w:t>
      </w:r>
      <w:r>
        <w:rPr>
          <w:rFonts w:hint="eastAsia" w:ascii="宋体" w:hAnsi="宋体" w:cs="微软雅黑"/>
          <w:kern w:val="0"/>
          <w:sz w:val="24"/>
          <w:szCs w:val="24"/>
          <w:highlight w:val="none"/>
        </w:rPr>
        <w:t>表</w:t>
      </w:r>
      <w:r>
        <w:rPr>
          <w:rFonts w:hint="eastAsia" w:ascii="宋体" w:hAnsi="宋体" w:cs="微软雅黑"/>
          <w:spacing w:val="-2"/>
          <w:kern w:val="0"/>
          <w:sz w:val="24"/>
          <w:szCs w:val="24"/>
          <w:highlight w:val="none"/>
        </w:rPr>
        <w:t>人</w:t>
      </w:r>
      <w:r>
        <w:rPr>
          <w:rFonts w:hint="eastAsia" w:ascii="宋体" w:hAnsi="宋体" w:cs="微软雅黑"/>
          <w:kern w:val="0"/>
          <w:sz w:val="24"/>
          <w:szCs w:val="24"/>
          <w:highlight w:val="none"/>
        </w:rPr>
        <w:t>（</w:t>
      </w:r>
      <w:r>
        <w:rPr>
          <w:rFonts w:hint="eastAsia" w:ascii="宋体" w:hAnsi="宋体" w:cs="微软雅黑"/>
          <w:spacing w:val="-2"/>
          <w:kern w:val="0"/>
          <w:sz w:val="24"/>
          <w:szCs w:val="24"/>
          <w:highlight w:val="none"/>
        </w:rPr>
        <w:t>单</w:t>
      </w:r>
      <w:r>
        <w:rPr>
          <w:rFonts w:hint="eastAsia" w:ascii="宋体" w:hAnsi="宋体" w:cs="微软雅黑"/>
          <w:kern w:val="0"/>
          <w:sz w:val="24"/>
          <w:szCs w:val="24"/>
          <w:highlight w:val="none"/>
        </w:rPr>
        <w:t>位</w:t>
      </w:r>
      <w:r>
        <w:rPr>
          <w:rFonts w:hint="eastAsia" w:ascii="宋体" w:hAnsi="宋体" w:cs="微软雅黑"/>
          <w:spacing w:val="-2"/>
          <w:kern w:val="0"/>
          <w:sz w:val="24"/>
          <w:szCs w:val="24"/>
          <w:highlight w:val="none"/>
        </w:rPr>
        <w:t>负</w:t>
      </w:r>
      <w:r>
        <w:rPr>
          <w:rFonts w:hint="eastAsia" w:ascii="宋体" w:hAnsi="宋体" w:cs="微软雅黑"/>
          <w:kern w:val="0"/>
          <w:sz w:val="24"/>
          <w:szCs w:val="24"/>
          <w:highlight w:val="none"/>
        </w:rPr>
        <w:t>责人</w:t>
      </w:r>
      <w:r>
        <w:rPr>
          <w:rFonts w:hint="eastAsia" w:ascii="宋体" w:hAnsi="宋体" w:cs="微软雅黑"/>
          <w:spacing w:val="-2"/>
          <w:kern w:val="0"/>
          <w:sz w:val="24"/>
          <w:szCs w:val="24"/>
          <w:highlight w:val="none"/>
        </w:rPr>
        <w:t>）</w:t>
      </w:r>
      <w:r>
        <w:rPr>
          <w:rFonts w:hint="eastAsia" w:ascii="宋体" w:hAnsi="宋体" w:cs="Times New Roman"/>
          <w:sz w:val="24"/>
          <w:szCs w:val="24"/>
          <w:highlight w:val="none"/>
        </w:rPr>
        <w:t>或委托代理人：</w:t>
      </w:r>
      <w:r>
        <w:rPr>
          <w:rFonts w:hint="eastAsia" w:ascii="宋体" w:hAnsi="宋体" w:cs="Times New Roman"/>
          <w:sz w:val="24"/>
          <w:szCs w:val="24"/>
          <w:highlight w:val="none"/>
          <w:u w:val="single"/>
        </w:rPr>
        <w:t xml:space="preserve">       </w:t>
      </w:r>
      <w:r>
        <w:rPr>
          <w:rFonts w:hint="eastAsia" w:ascii="宋体" w:hAnsi="宋体" w:cs="Times New Roman"/>
          <w:sz w:val="24"/>
          <w:szCs w:val="24"/>
          <w:highlight w:val="none"/>
        </w:rPr>
        <w:t>（签字或印章）</w:t>
      </w:r>
    </w:p>
    <w:p>
      <w:pPr>
        <w:widowControl/>
        <w:adjustRightInd w:val="0"/>
        <w:snapToGrid w:val="0"/>
        <w:jc w:val="left"/>
        <w:rPr>
          <w:rFonts w:ascii="宋体" w:hAnsi="宋体" w:cs="宋体"/>
          <w:sz w:val="24"/>
          <w:szCs w:val="24"/>
          <w:highlight w:val="none"/>
        </w:rPr>
      </w:pPr>
      <w:r>
        <w:rPr>
          <w:rFonts w:hint="eastAsia" w:ascii="宋体" w:hAnsi="宋体" w:cs="宋体"/>
          <w:sz w:val="24"/>
          <w:szCs w:val="24"/>
          <w:highlight w:val="none"/>
        </w:rPr>
        <w:t>日期：</w:t>
      </w:r>
      <w:r>
        <w:rPr>
          <w:rFonts w:hint="eastAsia" w:ascii="宋体" w:hAnsi="宋体" w:cs="宋体"/>
          <w:sz w:val="24"/>
          <w:szCs w:val="24"/>
          <w:highlight w:val="none"/>
          <w:u w:val="single"/>
        </w:rPr>
        <w:t xml:space="preserve">       </w:t>
      </w:r>
      <w:r>
        <w:rPr>
          <w:rFonts w:hint="eastAsia" w:ascii="宋体" w:hAnsi="宋体" w:cs="宋体"/>
          <w:sz w:val="24"/>
          <w:szCs w:val="24"/>
          <w:highlight w:val="none"/>
        </w:rPr>
        <w:t>年</w:t>
      </w:r>
      <w:r>
        <w:rPr>
          <w:rFonts w:hint="eastAsia" w:ascii="宋体" w:hAnsi="宋体" w:cs="宋体"/>
          <w:sz w:val="24"/>
          <w:szCs w:val="24"/>
          <w:highlight w:val="none"/>
          <w:u w:val="single"/>
        </w:rPr>
        <w:t xml:space="preserve">  </w:t>
      </w:r>
      <w:r>
        <w:rPr>
          <w:rFonts w:hint="eastAsia" w:ascii="宋体" w:hAnsi="宋体" w:cs="宋体"/>
          <w:sz w:val="24"/>
          <w:szCs w:val="24"/>
          <w:highlight w:val="none"/>
        </w:rPr>
        <w:t>月</w:t>
      </w:r>
      <w:r>
        <w:rPr>
          <w:rFonts w:hint="eastAsia" w:ascii="宋体" w:hAnsi="宋体" w:cs="宋体"/>
          <w:sz w:val="24"/>
          <w:szCs w:val="24"/>
          <w:highlight w:val="none"/>
          <w:u w:val="single"/>
        </w:rPr>
        <w:t xml:space="preserve">  </w:t>
      </w:r>
      <w:r>
        <w:rPr>
          <w:rFonts w:hint="eastAsia" w:ascii="宋体" w:hAnsi="宋体" w:cs="宋体"/>
          <w:sz w:val="24"/>
          <w:szCs w:val="24"/>
          <w:highlight w:val="none"/>
        </w:rPr>
        <w:t>日</w:t>
      </w:r>
    </w:p>
    <w:p>
      <w:pPr>
        <w:spacing w:line="480" w:lineRule="exact"/>
        <w:rPr>
          <w:rFonts w:ascii="黑体" w:hAnsi="宋体" w:eastAsia="黑体" w:cs="Times New Roman"/>
          <w:highlight w:val="none"/>
        </w:rPr>
      </w:pPr>
    </w:p>
    <w:p>
      <w:pPr>
        <w:spacing w:line="480" w:lineRule="exact"/>
        <w:rPr>
          <w:rFonts w:ascii="黑体" w:eastAsia="黑体" w:cs="Times New Roman"/>
          <w:sz w:val="30"/>
          <w:szCs w:val="30"/>
          <w:highlight w:val="none"/>
        </w:rPr>
      </w:pPr>
      <w:r>
        <w:rPr>
          <w:rFonts w:ascii="宋体" w:cs="Times New Roman"/>
          <w:sz w:val="30"/>
          <w:szCs w:val="30"/>
          <w:highlight w:val="none"/>
        </w:rPr>
        <w:br w:type="page"/>
      </w:r>
      <w:r>
        <w:rPr>
          <w:rFonts w:hint="eastAsia" w:ascii="黑体" w:eastAsia="黑体" w:cs="黑体"/>
          <w:sz w:val="30"/>
          <w:szCs w:val="30"/>
          <w:highlight w:val="none"/>
        </w:rPr>
        <w:t>附件</w:t>
      </w:r>
      <w:r>
        <w:rPr>
          <w:rFonts w:ascii="黑体" w:eastAsia="黑体" w:cs="黑体"/>
          <w:sz w:val="30"/>
          <w:szCs w:val="30"/>
          <w:highlight w:val="none"/>
        </w:rPr>
        <w:t xml:space="preserve">5  </w:t>
      </w:r>
      <w:r>
        <w:rPr>
          <w:rFonts w:hint="eastAsia" w:ascii="黑体" w:eastAsia="黑体" w:cs="黑体"/>
          <w:sz w:val="30"/>
          <w:szCs w:val="30"/>
          <w:highlight w:val="none"/>
        </w:rPr>
        <w:t>磋商文件规定的特定资格条件证明资料</w:t>
      </w:r>
    </w:p>
    <w:p>
      <w:pPr>
        <w:spacing w:line="480" w:lineRule="exact"/>
        <w:rPr>
          <w:rFonts w:ascii="宋体" w:cs="Times New Roman"/>
          <w:highlight w:val="none"/>
        </w:rPr>
      </w:pPr>
    </w:p>
    <w:p>
      <w:pPr>
        <w:spacing w:line="480" w:lineRule="exact"/>
        <w:rPr>
          <w:rFonts w:ascii="宋体" w:cs="Times New Roman"/>
          <w:highlight w:val="none"/>
        </w:rPr>
      </w:pPr>
      <w:r>
        <w:rPr>
          <w:rFonts w:hint="eastAsia" w:ascii="宋体" w:hAnsi="宋体" w:cs="宋体"/>
          <w:highlight w:val="none"/>
        </w:rPr>
        <w:t>备注：提供第二章磋商须知第</w:t>
      </w:r>
      <w:r>
        <w:rPr>
          <w:rFonts w:ascii="宋体" w:hAnsi="宋体" w:cs="宋体"/>
          <w:highlight w:val="none"/>
        </w:rPr>
        <w:t>3.1</w:t>
      </w:r>
      <w:r>
        <w:rPr>
          <w:rFonts w:hint="eastAsia" w:ascii="宋体" w:hAnsi="宋体" w:cs="宋体"/>
          <w:highlight w:val="none"/>
        </w:rPr>
        <w:t>款供应商特定资格条件证明资料的复印件。</w:t>
      </w:r>
    </w:p>
    <w:p>
      <w:pPr>
        <w:spacing w:line="480" w:lineRule="exact"/>
        <w:rPr>
          <w:rFonts w:ascii="宋体" w:cs="Times New Roman"/>
          <w:highlight w:val="none"/>
        </w:rPr>
      </w:pPr>
    </w:p>
    <w:p>
      <w:pPr>
        <w:spacing w:line="480" w:lineRule="exact"/>
        <w:rPr>
          <w:rFonts w:ascii="黑体" w:eastAsia="黑体" w:cs="Times New Roman"/>
          <w:sz w:val="30"/>
          <w:szCs w:val="30"/>
          <w:highlight w:val="none"/>
        </w:rPr>
      </w:pPr>
    </w:p>
    <w:p>
      <w:pPr>
        <w:spacing w:line="480" w:lineRule="exact"/>
        <w:rPr>
          <w:rFonts w:ascii="黑体" w:eastAsia="黑体" w:cs="Times New Roman"/>
          <w:sz w:val="30"/>
          <w:szCs w:val="30"/>
          <w:highlight w:val="none"/>
        </w:rPr>
      </w:pPr>
    </w:p>
    <w:p>
      <w:pPr>
        <w:adjustRightInd w:val="0"/>
        <w:snapToGrid w:val="0"/>
        <w:spacing w:line="360" w:lineRule="auto"/>
        <w:jc w:val="center"/>
        <w:rPr>
          <w:rFonts w:ascii="黑体" w:eastAsia="黑体" w:cs="Times New Roman"/>
          <w:b/>
          <w:bCs/>
          <w:sz w:val="32"/>
          <w:szCs w:val="32"/>
          <w:highlight w:val="none"/>
        </w:rPr>
      </w:pPr>
    </w:p>
    <w:p>
      <w:pPr>
        <w:adjustRightInd w:val="0"/>
        <w:snapToGrid w:val="0"/>
        <w:spacing w:line="360" w:lineRule="auto"/>
        <w:jc w:val="center"/>
        <w:rPr>
          <w:rFonts w:ascii="黑体" w:eastAsia="黑体" w:cs="Times New Roman"/>
          <w:b/>
          <w:bCs/>
          <w:sz w:val="32"/>
          <w:szCs w:val="32"/>
          <w:highlight w:val="none"/>
        </w:rPr>
      </w:pPr>
      <w:r>
        <w:rPr>
          <w:rFonts w:ascii="黑体" w:eastAsia="黑体" w:cs="Times New Roman"/>
          <w:b/>
          <w:bCs/>
          <w:sz w:val="32"/>
          <w:szCs w:val="32"/>
          <w:highlight w:val="none"/>
        </w:rPr>
        <w:br w:type="page"/>
      </w:r>
      <w:r>
        <w:rPr>
          <w:rFonts w:hint="eastAsia" w:ascii="黑体" w:eastAsia="黑体" w:cs="黑体"/>
          <w:b/>
          <w:bCs/>
          <w:sz w:val="32"/>
          <w:szCs w:val="32"/>
          <w:highlight w:val="none"/>
        </w:rPr>
        <w:t>五、服务方案说明</w:t>
      </w:r>
    </w:p>
    <w:p>
      <w:pPr>
        <w:adjustRightInd w:val="0"/>
        <w:snapToGrid w:val="0"/>
        <w:spacing w:line="360" w:lineRule="auto"/>
        <w:rPr>
          <w:rFonts w:ascii="仿宋_GB2312" w:hAnsi="宋体" w:eastAsia="Times New Roman" w:cs="Times New Roman"/>
          <w:highlight w:val="none"/>
        </w:rPr>
      </w:pPr>
    </w:p>
    <w:p>
      <w:pPr>
        <w:adjustRightInd w:val="0"/>
        <w:snapToGrid w:val="0"/>
        <w:rPr>
          <w:rFonts w:ascii="黑体" w:eastAsia="黑体" w:cs="Times New Roman"/>
          <w:sz w:val="30"/>
          <w:szCs w:val="30"/>
          <w:highlight w:val="none"/>
        </w:rPr>
      </w:pPr>
      <w:r>
        <w:rPr>
          <w:rFonts w:hint="eastAsia" w:ascii="黑体" w:eastAsia="黑体" w:cs="黑体"/>
          <w:sz w:val="30"/>
          <w:szCs w:val="30"/>
          <w:highlight w:val="none"/>
        </w:rPr>
        <w:t>附件</w:t>
      </w:r>
      <w:r>
        <w:rPr>
          <w:rFonts w:ascii="黑体" w:eastAsia="黑体" w:cs="黑体"/>
          <w:sz w:val="30"/>
          <w:szCs w:val="30"/>
          <w:highlight w:val="none"/>
        </w:rPr>
        <w:t>6-1</w:t>
      </w:r>
      <w:r>
        <w:rPr>
          <w:rFonts w:hint="eastAsia" w:ascii="黑体" w:eastAsia="黑体" w:cs="黑体"/>
          <w:sz w:val="30"/>
          <w:szCs w:val="30"/>
          <w:highlight w:val="none"/>
        </w:rPr>
        <w:t>：</w:t>
      </w:r>
    </w:p>
    <w:p>
      <w:pPr>
        <w:adjustRightInd w:val="0"/>
        <w:snapToGrid w:val="0"/>
        <w:jc w:val="center"/>
        <w:rPr>
          <w:rFonts w:ascii="黑体" w:hAnsi="宋体" w:eastAsia="黑体" w:cs="Times New Roman"/>
          <w:b/>
          <w:bCs/>
          <w:sz w:val="30"/>
          <w:szCs w:val="30"/>
          <w:highlight w:val="none"/>
        </w:rPr>
      </w:pPr>
      <w:r>
        <w:rPr>
          <w:rFonts w:hint="eastAsia" w:ascii="黑体" w:hAnsi="宋体" w:eastAsia="黑体" w:cs="黑体"/>
          <w:b/>
          <w:bCs/>
          <w:sz w:val="30"/>
          <w:szCs w:val="30"/>
          <w:highlight w:val="none"/>
        </w:rPr>
        <w:t>服务方案说明</w:t>
      </w:r>
    </w:p>
    <w:p>
      <w:pPr>
        <w:pStyle w:val="12"/>
        <w:adjustRightInd w:val="0"/>
        <w:snapToGrid w:val="0"/>
        <w:spacing w:line="360" w:lineRule="auto"/>
        <w:outlineLvl w:val="0"/>
        <w:rPr>
          <w:rFonts w:ascii="宋体"/>
          <w:bCs/>
          <w:sz w:val="21"/>
          <w:szCs w:val="21"/>
          <w:highlight w:val="none"/>
        </w:rPr>
      </w:pPr>
      <w:r>
        <w:rPr>
          <w:rFonts w:hint="eastAsia" w:ascii="宋体" w:hAnsi="宋体"/>
          <w:bCs/>
          <w:sz w:val="21"/>
          <w:szCs w:val="21"/>
          <w:highlight w:val="none"/>
        </w:rPr>
        <w:t>根据第四章规定编写服务方案或服务大纲。</w:t>
      </w:r>
    </w:p>
    <w:p>
      <w:pPr>
        <w:pStyle w:val="12"/>
        <w:adjustRightInd w:val="0"/>
        <w:snapToGrid w:val="0"/>
        <w:spacing w:line="360" w:lineRule="auto"/>
        <w:outlineLvl w:val="0"/>
        <w:rPr>
          <w:rFonts w:ascii="宋体"/>
          <w:bCs/>
          <w:sz w:val="21"/>
          <w:szCs w:val="21"/>
          <w:highlight w:val="none"/>
        </w:rPr>
      </w:pPr>
    </w:p>
    <w:p>
      <w:pPr>
        <w:adjustRightInd w:val="0"/>
        <w:snapToGrid w:val="0"/>
        <w:rPr>
          <w:rFonts w:ascii="宋体" w:cs="Times New Roman"/>
          <w:highlight w:val="none"/>
        </w:rPr>
      </w:pPr>
    </w:p>
    <w:p>
      <w:pPr>
        <w:adjustRightInd w:val="0"/>
        <w:snapToGrid w:val="0"/>
        <w:rPr>
          <w:rFonts w:ascii="宋体" w:cs="Times New Roman"/>
          <w:highlight w:val="none"/>
        </w:rPr>
      </w:pPr>
    </w:p>
    <w:p>
      <w:pPr>
        <w:adjustRightInd w:val="0"/>
        <w:snapToGrid w:val="0"/>
        <w:rPr>
          <w:rFonts w:ascii="宋体" w:cs="Times New Roman"/>
          <w:highlight w:val="none"/>
        </w:rPr>
      </w:pPr>
    </w:p>
    <w:p>
      <w:pPr>
        <w:adjustRightInd w:val="0"/>
        <w:snapToGrid w:val="0"/>
        <w:rPr>
          <w:rFonts w:ascii="宋体" w:cs="Times New Roman"/>
          <w:highlight w:val="none"/>
        </w:rPr>
      </w:pPr>
    </w:p>
    <w:p>
      <w:pPr>
        <w:adjustRightInd w:val="0"/>
        <w:snapToGrid w:val="0"/>
        <w:rPr>
          <w:rFonts w:ascii="宋体" w:cs="Times New Roman"/>
          <w:highlight w:val="none"/>
        </w:rPr>
      </w:pPr>
    </w:p>
    <w:p>
      <w:pPr>
        <w:adjustRightInd w:val="0"/>
        <w:snapToGrid w:val="0"/>
        <w:rPr>
          <w:rFonts w:ascii="宋体" w:cs="Times New Roman"/>
          <w:highlight w:val="none"/>
        </w:rPr>
      </w:pPr>
    </w:p>
    <w:p>
      <w:pPr>
        <w:pStyle w:val="12"/>
        <w:adjustRightInd w:val="0"/>
        <w:snapToGrid w:val="0"/>
        <w:spacing w:line="360" w:lineRule="auto"/>
        <w:outlineLvl w:val="0"/>
        <w:rPr>
          <w:rFonts w:ascii="宋体"/>
          <w:bCs/>
          <w:sz w:val="21"/>
          <w:szCs w:val="21"/>
          <w:highlight w:val="none"/>
        </w:rPr>
      </w:pPr>
      <w:r>
        <w:rPr>
          <w:rFonts w:hint="eastAsia" w:ascii="宋体" w:hAnsi="宋体"/>
          <w:sz w:val="21"/>
          <w:szCs w:val="21"/>
          <w:highlight w:val="none"/>
        </w:rPr>
        <w:t>供应商名称：</w:t>
      </w:r>
    </w:p>
    <w:p>
      <w:pPr>
        <w:adjustRightInd w:val="0"/>
        <w:snapToGrid w:val="0"/>
        <w:spacing w:line="360" w:lineRule="auto"/>
        <w:outlineLvl w:val="0"/>
        <w:rPr>
          <w:rFonts w:ascii="宋体"/>
          <w:highlight w:val="none"/>
        </w:rPr>
      </w:pPr>
      <w:r>
        <w:rPr>
          <w:rFonts w:hint="eastAsia" w:ascii="宋体" w:hAnsi="宋体"/>
          <w:highlight w:val="none"/>
        </w:rPr>
        <w:t>负责人或其委托代理人</w:t>
      </w:r>
      <w:r>
        <w:rPr>
          <w:rFonts w:ascii="宋体" w:hAnsi="宋体"/>
          <w:highlight w:val="none"/>
        </w:rPr>
        <w:t>(</w:t>
      </w:r>
      <w:r>
        <w:rPr>
          <w:rFonts w:hint="eastAsia" w:ascii="宋体" w:hAnsi="宋体"/>
          <w:highlight w:val="none"/>
        </w:rPr>
        <w:t>签字</w:t>
      </w:r>
      <w:r>
        <w:rPr>
          <w:rFonts w:ascii="宋体" w:hAnsi="宋体"/>
          <w:highlight w:val="none"/>
        </w:rPr>
        <w:t>)</w:t>
      </w:r>
      <w:r>
        <w:rPr>
          <w:rFonts w:hint="eastAsia" w:ascii="宋体" w:hAnsi="宋体"/>
          <w:highlight w:val="none"/>
        </w:rPr>
        <w:t>：</w:t>
      </w:r>
    </w:p>
    <w:p>
      <w:pPr>
        <w:adjustRightInd w:val="0"/>
        <w:snapToGrid w:val="0"/>
        <w:spacing w:line="360" w:lineRule="auto"/>
        <w:rPr>
          <w:rFonts w:ascii="宋体"/>
          <w:highlight w:val="none"/>
        </w:rPr>
      </w:pPr>
      <w:r>
        <w:rPr>
          <w:rFonts w:hint="eastAsia" w:ascii="宋体" w:hAnsi="宋体"/>
          <w:highlight w:val="none"/>
        </w:rPr>
        <w:t>日期：</w:t>
      </w:r>
      <w:r>
        <w:rPr>
          <w:rFonts w:ascii="宋体" w:hAnsi="宋体"/>
          <w:highlight w:val="none"/>
        </w:rPr>
        <w:t xml:space="preserve">  </w:t>
      </w:r>
      <w:r>
        <w:rPr>
          <w:rFonts w:hint="eastAsia" w:ascii="宋体" w:hAnsi="宋体"/>
          <w:highlight w:val="none"/>
        </w:rPr>
        <w:t>年</w:t>
      </w:r>
      <w:r>
        <w:rPr>
          <w:rFonts w:ascii="宋体" w:hAnsi="宋体"/>
          <w:highlight w:val="none"/>
        </w:rPr>
        <w:t xml:space="preserve">  </w:t>
      </w:r>
      <w:r>
        <w:rPr>
          <w:rFonts w:hint="eastAsia" w:ascii="宋体" w:hAnsi="宋体"/>
          <w:highlight w:val="none"/>
        </w:rPr>
        <w:t>月</w:t>
      </w:r>
      <w:r>
        <w:rPr>
          <w:rFonts w:ascii="宋体" w:hAnsi="宋体"/>
          <w:highlight w:val="none"/>
        </w:rPr>
        <w:t xml:space="preserve">  </w:t>
      </w:r>
      <w:r>
        <w:rPr>
          <w:rFonts w:hint="eastAsia" w:ascii="宋体" w:hAnsi="宋体"/>
          <w:highlight w:val="none"/>
        </w:rPr>
        <w:t>日</w:t>
      </w:r>
    </w:p>
    <w:p>
      <w:pPr>
        <w:adjustRightInd w:val="0"/>
        <w:snapToGrid w:val="0"/>
        <w:spacing w:line="360" w:lineRule="auto"/>
        <w:rPr>
          <w:rFonts w:ascii="宋体" w:cs="Times New Roman"/>
          <w:highlight w:val="none"/>
        </w:rPr>
      </w:pPr>
    </w:p>
    <w:p>
      <w:pPr>
        <w:adjustRightInd w:val="0"/>
        <w:snapToGrid w:val="0"/>
        <w:rPr>
          <w:rFonts w:ascii="宋体" w:cs="Times New Roman"/>
          <w:highlight w:val="none"/>
        </w:rPr>
      </w:pPr>
    </w:p>
    <w:p>
      <w:pPr>
        <w:adjustRightInd w:val="0"/>
        <w:snapToGrid w:val="0"/>
        <w:rPr>
          <w:rFonts w:ascii="宋体" w:cs="Times New Roman"/>
          <w:highlight w:val="none"/>
        </w:rPr>
      </w:pPr>
    </w:p>
    <w:p>
      <w:pPr>
        <w:adjustRightInd w:val="0"/>
        <w:snapToGrid w:val="0"/>
        <w:rPr>
          <w:rFonts w:ascii="宋体" w:cs="Times New Roman"/>
          <w:highlight w:val="none"/>
        </w:rPr>
      </w:pPr>
    </w:p>
    <w:p>
      <w:pPr>
        <w:adjustRightInd w:val="0"/>
        <w:snapToGrid w:val="0"/>
        <w:rPr>
          <w:rFonts w:ascii="黑体" w:eastAsia="黑体" w:cs="Times New Roman"/>
          <w:sz w:val="30"/>
          <w:szCs w:val="30"/>
          <w:highlight w:val="none"/>
        </w:rPr>
      </w:pPr>
      <w:r>
        <w:rPr>
          <w:rFonts w:ascii="宋体" w:cs="Times New Roman"/>
          <w:highlight w:val="none"/>
        </w:rPr>
        <w:br w:type="page"/>
      </w:r>
      <w:r>
        <w:rPr>
          <w:rFonts w:hint="eastAsia" w:ascii="黑体" w:eastAsia="黑体" w:cs="黑体"/>
          <w:sz w:val="30"/>
          <w:szCs w:val="30"/>
          <w:highlight w:val="none"/>
        </w:rPr>
        <w:t>附件</w:t>
      </w:r>
      <w:r>
        <w:rPr>
          <w:rFonts w:ascii="黑体" w:eastAsia="黑体" w:cs="黑体"/>
          <w:sz w:val="30"/>
          <w:szCs w:val="30"/>
          <w:highlight w:val="none"/>
        </w:rPr>
        <w:t>6-2</w:t>
      </w:r>
      <w:r>
        <w:rPr>
          <w:rFonts w:hint="eastAsia" w:ascii="黑体" w:eastAsia="黑体" w:cs="黑体"/>
          <w:sz w:val="30"/>
          <w:szCs w:val="30"/>
          <w:highlight w:val="none"/>
        </w:rPr>
        <w:t>：</w:t>
      </w:r>
    </w:p>
    <w:p>
      <w:pPr>
        <w:adjustRightInd w:val="0"/>
        <w:snapToGrid w:val="0"/>
        <w:spacing w:line="360" w:lineRule="auto"/>
        <w:rPr>
          <w:rFonts w:ascii="宋体" w:cs="Times New Roman"/>
          <w:sz w:val="30"/>
          <w:szCs w:val="30"/>
          <w:highlight w:val="none"/>
        </w:rPr>
      </w:pPr>
    </w:p>
    <w:p>
      <w:pPr>
        <w:spacing w:line="360" w:lineRule="atLeast"/>
        <w:jc w:val="center"/>
        <w:rPr>
          <w:rFonts w:ascii="宋体" w:cs="Times New Roman"/>
          <w:sz w:val="28"/>
          <w:szCs w:val="28"/>
          <w:highlight w:val="none"/>
        </w:rPr>
      </w:pPr>
      <w:r>
        <w:rPr>
          <w:rFonts w:hint="eastAsia" w:ascii="黑体" w:eastAsia="黑体" w:cs="黑体"/>
          <w:sz w:val="30"/>
          <w:szCs w:val="30"/>
          <w:highlight w:val="none"/>
        </w:rPr>
        <w:t>主要人员简历表</w:t>
      </w:r>
    </w:p>
    <w:tbl>
      <w:tblPr>
        <w:tblStyle w:val="19"/>
        <w:tblW w:w="9195" w:type="dxa"/>
        <w:tblInd w:w="2"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362"/>
        <w:gridCol w:w="835"/>
        <w:gridCol w:w="2669"/>
        <w:gridCol w:w="428"/>
        <w:gridCol w:w="1518"/>
        <w:gridCol w:w="585"/>
        <w:gridCol w:w="1798"/>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601" w:hRule="exact"/>
        </w:trPr>
        <w:tc>
          <w:tcPr>
            <w:tcW w:w="2197" w:type="dxa"/>
            <w:gridSpan w:val="2"/>
            <w:tcBorders>
              <w:top w:val="double" w:color="auto" w:sz="4" w:space="0"/>
            </w:tcBorders>
            <w:vAlign w:val="center"/>
          </w:tcPr>
          <w:p>
            <w:pPr>
              <w:spacing w:line="360" w:lineRule="atLeast"/>
              <w:jc w:val="center"/>
              <w:rPr>
                <w:rFonts w:ascii="宋体" w:cs="Times New Roman"/>
                <w:highlight w:val="none"/>
              </w:rPr>
            </w:pPr>
            <w:r>
              <w:rPr>
                <w:rFonts w:hint="eastAsia" w:ascii="宋体" w:cs="宋体"/>
                <w:highlight w:val="none"/>
              </w:rPr>
              <w:t>姓名</w:t>
            </w:r>
          </w:p>
        </w:tc>
        <w:tc>
          <w:tcPr>
            <w:tcW w:w="2669" w:type="dxa"/>
            <w:tcBorders>
              <w:top w:val="double" w:color="auto" w:sz="4" w:space="0"/>
            </w:tcBorders>
            <w:vAlign w:val="center"/>
          </w:tcPr>
          <w:p>
            <w:pPr>
              <w:spacing w:line="360" w:lineRule="atLeast"/>
              <w:jc w:val="center"/>
              <w:rPr>
                <w:rFonts w:ascii="宋体" w:cs="Times New Roman"/>
                <w:highlight w:val="none"/>
              </w:rPr>
            </w:pPr>
          </w:p>
        </w:tc>
        <w:tc>
          <w:tcPr>
            <w:tcW w:w="2531" w:type="dxa"/>
            <w:gridSpan w:val="3"/>
            <w:tcBorders>
              <w:top w:val="double" w:color="auto" w:sz="4" w:space="0"/>
            </w:tcBorders>
            <w:vAlign w:val="center"/>
          </w:tcPr>
          <w:p>
            <w:pPr>
              <w:spacing w:line="360" w:lineRule="atLeast"/>
              <w:jc w:val="center"/>
              <w:rPr>
                <w:rFonts w:ascii="宋体" w:cs="Times New Roman"/>
                <w:highlight w:val="none"/>
              </w:rPr>
            </w:pPr>
            <w:r>
              <w:rPr>
                <w:rFonts w:hint="eastAsia" w:ascii="宋体" w:cs="宋体"/>
                <w:highlight w:val="none"/>
              </w:rPr>
              <w:t>性别</w:t>
            </w:r>
          </w:p>
        </w:tc>
        <w:tc>
          <w:tcPr>
            <w:tcW w:w="1798" w:type="dxa"/>
            <w:tcBorders>
              <w:top w:val="double" w:color="auto" w:sz="4" w:space="0"/>
            </w:tcBorders>
            <w:vAlign w:val="center"/>
          </w:tcPr>
          <w:p>
            <w:pPr>
              <w:spacing w:line="360" w:lineRule="atLeast"/>
              <w:jc w:val="center"/>
              <w:rPr>
                <w:rFonts w:ascii="宋体" w:cs="Times New Roman"/>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533" w:hRule="exact"/>
        </w:trPr>
        <w:tc>
          <w:tcPr>
            <w:tcW w:w="2197" w:type="dxa"/>
            <w:gridSpan w:val="2"/>
            <w:vAlign w:val="center"/>
          </w:tcPr>
          <w:p>
            <w:pPr>
              <w:spacing w:line="360" w:lineRule="atLeast"/>
              <w:jc w:val="center"/>
              <w:rPr>
                <w:rFonts w:ascii="宋体" w:cs="Times New Roman"/>
                <w:highlight w:val="none"/>
              </w:rPr>
            </w:pPr>
            <w:r>
              <w:rPr>
                <w:rFonts w:hint="eastAsia" w:ascii="宋体" w:cs="宋体"/>
                <w:highlight w:val="none"/>
              </w:rPr>
              <w:t>职务</w:t>
            </w:r>
          </w:p>
        </w:tc>
        <w:tc>
          <w:tcPr>
            <w:tcW w:w="2669" w:type="dxa"/>
            <w:vAlign w:val="center"/>
          </w:tcPr>
          <w:p>
            <w:pPr>
              <w:spacing w:line="360" w:lineRule="atLeast"/>
              <w:jc w:val="center"/>
              <w:rPr>
                <w:rFonts w:ascii="宋体" w:cs="Times New Roman"/>
                <w:highlight w:val="none"/>
              </w:rPr>
            </w:pPr>
          </w:p>
        </w:tc>
        <w:tc>
          <w:tcPr>
            <w:tcW w:w="2531" w:type="dxa"/>
            <w:gridSpan w:val="3"/>
            <w:vAlign w:val="center"/>
          </w:tcPr>
          <w:p>
            <w:pPr>
              <w:spacing w:line="360" w:lineRule="atLeast"/>
              <w:jc w:val="center"/>
              <w:rPr>
                <w:rFonts w:ascii="宋体" w:cs="Times New Roman"/>
                <w:highlight w:val="none"/>
              </w:rPr>
            </w:pPr>
            <w:r>
              <w:rPr>
                <w:rFonts w:hint="eastAsia" w:ascii="宋体" w:cs="宋体"/>
                <w:highlight w:val="none"/>
              </w:rPr>
              <w:t>职称</w:t>
            </w:r>
          </w:p>
        </w:tc>
        <w:tc>
          <w:tcPr>
            <w:tcW w:w="1798" w:type="dxa"/>
            <w:vAlign w:val="center"/>
          </w:tcPr>
          <w:p>
            <w:pPr>
              <w:spacing w:line="360" w:lineRule="atLeast"/>
              <w:jc w:val="center"/>
              <w:rPr>
                <w:rFonts w:ascii="宋体" w:cs="Times New Roman"/>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540" w:hRule="exact"/>
        </w:trPr>
        <w:tc>
          <w:tcPr>
            <w:tcW w:w="2197" w:type="dxa"/>
            <w:gridSpan w:val="2"/>
            <w:vAlign w:val="center"/>
          </w:tcPr>
          <w:p>
            <w:pPr>
              <w:spacing w:line="360" w:lineRule="atLeast"/>
              <w:jc w:val="center"/>
              <w:rPr>
                <w:rFonts w:ascii="宋体" w:cs="Times New Roman"/>
                <w:highlight w:val="none"/>
              </w:rPr>
            </w:pPr>
            <w:r>
              <w:rPr>
                <w:rFonts w:hint="eastAsia" w:ascii="宋体" w:cs="宋体"/>
                <w:highlight w:val="none"/>
              </w:rPr>
              <w:t>毕业学校、专业</w:t>
            </w:r>
          </w:p>
        </w:tc>
        <w:tc>
          <w:tcPr>
            <w:tcW w:w="6998" w:type="dxa"/>
            <w:gridSpan w:val="5"/>
            <w:vAlign w:val="center"/>
          </w:tcPr>
          <w:p>
            <w:pPr>
              <w:spacing w:line="360" w:lineRule="atLeast"/>
              <w:jc w:val="center"/>
              <w:rPr>
                <w:rFonts w:ascii="宋体" w:cs="Times New Roman"/>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671" w:hRule="exact"/>
        </w:trPr>
        <w:tc>
          <w:tcPr>
            <w:tcW w:w="2197" w:type="dxa"/>
            <w:gridSpan w:val="2"/>
            <w:vAlign w:val="center"/>
          </w:tcPr>
          <w:p>
            <w:pPr>
              <w:spacing w:line="360" w:lineRule="atLeast"/>
              <w:jc w:val="center"/>
              <w:rPr>
                <w:rFonts w:ascii="宋体" w:cs="Times New Roman"/>
                <w:highlight w:val="none"/>
              </w:rPr>
            </w:pPr>
            <w:r>
              <w:rPr>
                <w:rFonts w:hint="eastAsia" w:ascii="宋体" w:cs="宋体"/>
                <w:highlight w:val="none"/>
              </w:rPr>
              <w:t>身份证号</w:t>
            </w:r>
          </w:p>
        </w:tc>
        <w:tc>
          <w:tcPr>
            <w:tcW w:w="2669" w:type="dxa"/>
            <w:vAlign w:val="center"/>
          </w:tcPr>
          <w:p>
            <w:pPr>
              <w:spacing w:line="360" w:lineRule="atLeast"/>
              <w:jc w:val="center"/>
              <w:rPr>
                <w:rFonts w:ascii="宋体" w:cs="Times New Roman"/>
                <w:highlight w:val="none"/>
              </w:rPr>
            </w:pPr>
          </w:p>
        </w:tc>
        <w:tc>
          <w:tcPr>
            <w:tcW w:w="2531" w:type="dxa"/>
            <w:gridSpan w:val="3"/>
            <w:vAlign w:val="center"/>
          </w:tcPr>
          <w:p>
            <w:pPr>
              <w:spacing w:line="360" w:lineRule="atLeast"/>
              <w:jc w:val="center"/>
              <w:rPr>
                <w:rFonts w:ascii="宋体" w:cs="Times New Roman"/>
                <w:highlight w:val="none"/>
              </w:rPr>
            </w:pPr>
            <w:r>
              <w:rPr>
                <w:rFonts w:hint="eastAsia" w:ascii="宋体" w:cs="宋体"/>
                <w:highlight w:val="none"/>
              </w:rPr>
              <w:t>拟在本合同任职</w:t>
            </w:r>
          </w:p>
        </w:tc>
        <w:tc>
          <w:tcPr>
            <w:tcW w:w="1798" w:type="dxa"/>
            <w:vAlign w:val="center"/>
          </w:tcPr>
          <w:p>
            <w:pPr>
              <w:spacing w:line="360" w:lineRule="atLeast"/>
              <w:ind w:right="-105" w:rightChars="-50"/>
              <w:jc w:val="center"/>
              <w:rPr>
                <w:rFonts w:ascii="宋体" w:cs="Times New Roman"/>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671" w:hRule="exact"/>
        </w:trPr>
        <w:tc>
          <w:tcPr>
            <w:tcW w:w="2197" w:type="dxa"/>
            <w:gridSpan w:val="2"/>
            <w:vAlign w:val="center"/>
          </w:tcPr>
          <w:p>
            <w:pPr>
              <w:spacing w:line="360" w:lineRule="atLeast"/>
              <w:jc w:val="center"/>
              <w:rPr>
                <w:rFonts w:ascii="宋体" w:cs="Times New Roman"/>
                <w:highlight w:val="none"/>
              </w:rPr>
            </w:pPr>
            <w:r>
              <w:rPr>
                <w:rFonts w:hint="eastAsia" w:ascii="宋体" w:cs="宋体"/>
                <w:highlight w:val="none"/>
              </w:rPr>
              <w:t>执业资格证</w:t>
            </w:r>
          </w:p>
        </w:tc>
        <w:tc>
          <w:tcPr>
            <w:tcW w:w="2669" w:type="dxa"/>
            <w:vAlign w:val="center"/>
          </w:tcPr>
          <w:p>
            <w:pPr>
              <w:spacing w:line="360" w:lineRule="atLeast"/>
              <w:jc w:val="center"/>
              <w:rPr>
                <w:rFonts w:ascii="宋体" w:cs="Times New Roman"/>
                <w:highlight w:val="none"/>
              </w:rPr>
            </w:pPr>
          </w:p>
        </w:tc>
        <w:tc>
          <w:tcPr>
            <w:tcW w:w="2531" w:type="dxa"/>
            <w:gridSpan w:val="3"/>
            <w:vAlign w:val="center"/>
          </w:tcPr>
          <w:p>
            <w:pPr>
              <w:spacing w:line="360" w:lineRule="atLeast"/>
              <w:jc w:val="center"/>
              <w:rPr>
                <w:rFonts w:ascii="宋体" w:cs="Times New Roman"/>
                <w:highlight w:val="none"/>
              </w:rPr>
            </w:pPr>
            <w:r>
              <w:rPr>
                <w:rFonts w:hint="eastAsia" w:ascii="宋体" w:cs="宋体"/>
                <w:highlight w:val="none"/>
              </w:rPr>
              <w:t>执业资格证书号</w:t>
            </w:r>
          </w:p>
        </w:tc>
        <w:tc>
          <w:tcPr>
            <w:tcW w:w="1798" w:type="dxa"/>
            <w:vAlign w:val="center"/>
          </w:tcPr>
          <w:p>
            <w:pPr>
              <w:rPr>
                <w:rFonts w:ascii="宋体" w:cs="Times New Roman"/>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35" w:hRule="exact"/>
        </w:trPr>
        <w:tc>
          <w:tcPr>
            <w:tcW w:w="9195" w:type="dxa"/>
            <w:gridSpan w:val="7"/>
            <w:vAlign w:val="center"/>
          </w:tcPr>
          <w:p>
            <w:pPr>
              <w:spacing w:line="360" w:lineRule="atLeast"/>
              <w:rPr>
                <w:rFonts w:ascii="宋体" w:cs="Times New Roman"/>
                <w:highlight w:val="none"/>
              </w:rPr>
            </w:pPr>
            <w:r>
              <w:rPr>
                <w:rFonts w:hint="eastAsia" w:ascii="宋体" w:cs="宋体"/>
                <w:highlight w:val="none"/>
              </w:rPr>
              <w:t>近三年承担项目情况</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35" w:hRule="exact"/>
        </w:trPr>
        <w:tc>
          <w:tcPr>
            <w:tcW w:w="1362" w:type="dxa"/>
            <w:vAlign w:val="center"/>
          </w:tcPr>
          <w:p>
            <w:pPr>
              <w:spacing w:line="360" w:lineRule="atLeast"/>
              <w:jc w:val="center"/>
              <w:rPr>
                <w:rFonts w:ascii="宋体" w:cs="Times New Roman"/>
                <w:highlight w:val="none"/>
              </w:rPr>
            </w:pPr>
            <w:r>
              <w:rPr>
                <w:rFonts w:hint="eastAsia" w:ascii="宋体" w:cs="宋体"/>
                <w:highlight w:val="none"/>
              </w:rPr>
              <w:t>时间</w:t>
            </w:r>
          </w:p>
        </w:tc>
        <w:tc>
          <w:tcPr>
            <w:tcW w:w="3932" w:type="dxa"/>
            <w:gridSpan w:val="3"/>
            <w:vAlign w:val="center"/>
          </w:tcPr>
          <w:p>
            <w:pPr>
              <w:spacing w:line="360" w:lineRule="atLeast"/>
              <w:jc w:val="center"/>
              <w:rPr>
                <w:rFonts w:ascii="宋体" w:cs="Times New Roman"/>
                <w:highlight w:val="none"/>
              </w:rPr>
            </w:pPr>
            <w:r>
              <w:rPr>
                <w:rFonts w:hint="eastAsia" w:ascii="宋体" w:cs="宋体"/>
                <w:highlight w:val="none"/>
              </w:rPr>
              <w:t>类似项目名称</w:t>
            </w:r>
          </w:p>
        </w:tc>
        <w:tc>
          <w:tcPr>
            <w:tcW w:w="1518" w:type="dxa"/>
            <w:vAlign w:val="center"/>
          </w:tcPr>
          <w:p>
            <w:pPr>
              <w:spacing w:line="360" w:lineRule="atLeast"/>
              <w:jc w:val="center"/>
              <w:rPr>
                <w:rFonts w:ascii="宋体" w:cs="Times New Roman"/>
                <w:highlight w:val="none"/>
              </w:rPr>
            </w:pPr>
            <w:r>
              <w:rPr>
                <w:rFonts w:hint="eastAsia" w:ascii="宋体" w:cs="宋体"/>
                <w:highlight w:val="none"/>
              </w:rPr>
              <w:t>担任职务</w:t>
            </w:r>
          </w:p>
        </w:tc>
        <w:tc>
          <w:tcPr>
            <w:tcW w:w="2383" w:type="dxa"/>
            <w:gridSpan w:val="2"/>
            <w:vAlign w:val="center"/>
          </w:tcPr>
          <w:p>
            <w:pPr>
              <w:spacing w:line="360" w:lineRule="atLeast"/>
              <w:jc w:val="center"/>
              <w:rPr>
                <w:rFonts w:ascii="宋体" w:cs="Times New Roman"/>
                <w:highlight w:val="none"/>
              </w:rPr>
            </w:pPr>
            <w:r>
              <w:rPr>
                <w:rFonts w:hint="eastAsia" w:ascii="宋体" w:cs="宋体"/>
                <w:highlight w:val="none"/>
              </w:rPr>
              <w:t>项目单位名称及电话</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35" w:hRule="exact"/>
        </w:trPr>
        <w:tc>
          <w:tcPr>
            <w:tcW w:w="1362" w:type="dxa"/>
            <w:vAlign w:val="center"/>
          </w:tcPr>
          <w:p>
            <w:pPr>
              <w:spacing w:line="360" w:lineRule="atLeast"/>
              <w:jc w:val="center"/>
              <w:rPr>
                <w:rFonts w:ascii="宋体" w:cs="Times New Roman"/>
                <w:highlight w:val="none"/>
              </w:rPr>
            </w:pPr>
          </w:p>
        </w:tc>
        <w:tc>
          <w:tcPr>
            <w:tcW w:w="3932" w:type="dxa"/>
            <w:gridSpan w:val="3"/>
            <w:vAlign w:val="center"/>
          </w:tcPr>
          <w:p>
            <w:pPr>
              <w:spacing w:line="360" w:lineRule="atLeast"/>
              <w:jc w:val="center"/>
              <w:rPr>
                <w:rFonts w:ascii="宋体" w:cs="Times New Roman"/>
                <w:highlight w:val="none"/>
              </w:rPr>
            </w:pPr>
          </w:p>
        </w:tc>
        <w:tc>
          <w:tcPr>
            <w:tcW w:w="1518" w:type="dxa"/>
            <w:vAlign w:val="center"/>
          </w:tcPr>
          <w:p>
            <w:pPr>
              <w:spacing w:line="360" w:lineRule="atLeast"/>
              <w:jc w:val="center"/>
              <w:rPr>
                <w:rFonts w:ascii="宋体" w:cs="Times New Roman"/>
                <w:highlight w:val="none"/>
              </w:rPr>
            </w:pPr>
          </w:p>
        </w:tc>
        <w:tc>
          <w:tcPr>
            <w:tcW w:w="2383" w:type="dxa"/>
            <w:gridSpan w:val="2"/>
            <w:vAlign w:val="center"/>
          </w:tcPr>
          <w:p>
            <w:pPr>
              <w:spacing w:line="360" w:lineRule="atLeast"/>
              <w:jc w:val="center"/>
              <w:rPr>
                <w:rFonts w:ascii="宋体" w:cs="Times New Roman"/>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35" w:hRule="exact"/>
        </w:trPr>
        <w:tc>
          <w:tcPr>
            <w:tcW w:w="1362" w:type="dxa"/>
            <w:vAlign w:val="center"/>
          </w:tcPr>
          <w:p>
            <w:pPr>
              <w:spacing w:line="360" w:lineRule="atLeast"/>
              <w:jc w:val="center"/>
              <w:rPr>
                <w:rFonts w:ascii="宋体" w:cs="Times New Roman"/>
                <w:highlight w:val="none"/>
              </w:rPr>
            </w:pPr>
          </w:p>
        </w:tc>
        <w:tc>
          <w:tcPr>
            <w:tcW w:w="3932" w:type="dxa"/>
            <w:gridSpan w:val="3"/>
            <w:vAlign w:val="center"/>
          </w:tcPr>
          <w:p>
            <w:pPr>
              <w:spacing w:line="360" w:lineRule="atLeast"/>
              <w:jc w:val="center"/>
              <w:rPr>
                <w:rFonts w:ascii="宋体" w:cs="Times New Roman"/>
                <w:highlight w:val="none"/>
              </w:rPr>
            </w:pPr>
          </w:p>
        </w:tc>
        <w:tc>
          <w:tcPr>
            <w:tcW w:w="1518" w:type="dxa"/>
            <w:vAlign w:val="center"/>
          </w:tcPr>
          <w:p>
            <w:pPr>
              <w:spacing w:line="360" w:lineRule="atLeast"/>
              <w:jc w:val="center"/>
              <w:rPr>
                <w:rFonts w:ascii="宋体" w:cs="Times New Roman"/>
                <w:highlight w:val="none"/>
              </w:rPr>
            </w:pPr>
          </w:p>
        </w:tc>
        <w:tc>
          <w:tcPr>
            <w:tcW w:w="2383" w:type="dxa"/>
            <w:gridSpan w:val="2"/>
            <w:vAlign w:val="center"/>
          </w:tcPr>
          <w:p>
            <w:pPr>
              <w:spacing w:line="360" w:lineRule="atLeast"/>
              <w:jc w:val="center"/>
              <w:rPr>
                <w:rFonts w:ascii="宋体" w:cs="Times New Roman"/>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35" w:hRule="exact"/>
        </w:trPr>
        <w:tc>
          <w:tcPr>
            <w:tcW w:w="1362" w:type="dxa"/>
            <w:vAlign w:val="center"/>
          </w:tcPr>
          <w:p>
            <w:pPr>
              <w:spacing w:line="360" w:lineRule="atLeast"/>
              <w:jc w:val="center"/>
              <w:rPr>
                <w:rFonts w:ascii="宋体" w:cs="Times New Roman"/>
                <w:highlight w:val="none"/>
              </w:rPr>
            </w:pPr>
          </w:p>
        </w:tc>
        <w:tc>
          <w:tcPr>
            <w:tcW w:w="3932" w:type="dxa"/>
            <w:gridSpan w:val="3"/>
            <w:vAlign w:val="center"/>
          </w:tcPr>
          <w:p>
            <w:pPr>
              <w:spacing w:line="360" w:lineRule="atLeast"/>
              <w:jc w:val="center"/>
              <w:rPr>
                <w:rFonts w:ascii="宋体" w:cs="Times New Roman"/>
                <w:highlight w:val="none"/>
              </w:rPr>
            </w:pPr>
          </w:p>
        </w:tc>
        <w:tc>
          <w:tcPr>
            <w:tcW w:w="1518" w:type="dxa"/>
            <w:vAlign w:val="center"/>
          </w:tcPr>
          <w:p>
            <w:pPr>
              <w:spacing w:line="360" w:lineRule="atLeast"/>
              <w:jc w:val="center"/>
              <w:rPr>
                <w:rFonts w:ascii="宋体" w:cs="Times New Roman"/>
                <w:highlight w:val="none"/>
              </w:rPr>
            </w:pPr>
          </w:p>
        </w:tc>
        <w:tc>
          <w:tcPr>
            <w:tcW w:w="2383" w:type="dxa"/>
            <w:gridSpan w:val="2"/>
            <w:vAlign w:val="center"/>
          </w:tcPr>
          <w:p>
            <w:pPr>
              <w:spacing w:line="360" w:lineRule="atLeast"/>
              <w:jc w:val="center"/>
              <w:rPr>
                <w:rFonts w:ascii="宋体" w:cs="Times New Roman"/>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35" w:hRule="exact"/>
        </w:trPr>
        <w:tc>
          <w:tcPr>
            <w:tcW w:w="1362" w:type="dxa"/>
            <w:vAlign w:val="center"/>
          </w:tcPr>
          <w:p>
            <w:pPr>
              <w:spacing w:line="360" w:lineRule="atLeast"/>
              <w:jc w:val="center"/>
              <w:rPr>
                <w:rFonts w:ascii="宋体" w:cs="Times New Roman"/>
                <w:highlight w:val="none"/>
              </w:rPr>
            </w:pPr>
          </w:p>
        </w:tc>
        <w:tc>
          <w:tcPr>
            <w:tcW w:w="3932" w:type="dxa"/>
            <w:gridSpan w:val="3"/>
            <w:vAlign w:val="center"/>
          </w:tcPr>
          <w:p>
            <w:pPr>
              <w:spacing w:line="360" w:lineRule="atLeast"/>
              <w:jc w:val="center"/>
              <w:rPr>
                <w:rFonts w:ascii="宋体" w:cs="Times New Roman"/>
                <w:highlight w:val="none"/>
              </w:rPr>
            </w:pPr>
          </w:p>
        </w:tc>
        <w:tc>
          <w:tcPr>
            <w:tcW w:w="1518" w:type="dxa"/>
            <w:vAlign w:val="center"/>
          </w:tcPr>
          <w:p>
            <w:pPr>
              <w:spacing w:line="360" w:lineRule="atLeast"/>
              <w:jc w:val="center"/>
              <w:rPr>
                <w:rFonts w:ascii="宋体" w:cs="Times New Roman"/>
                <w:highlight w:val="none"/>
              </w:rPr>
            </w:pPr>
          </w:p>
        </w:tc>
        <w:tc>
          <w:tcPr>
            <w:tcW w:w="2383" w:type="dxa"/>
            <w:gridSpan w:val="2"/>
            <w:vAlign w:val="center"/>
          </w:tcPr>
          <w:p>
            <w:pPr>
              <w:spacing w:line="360" w:lineRule="atLeast"/>
              <w:jc w:val="center"/>
              <w:rPr>
                <w:rFonts w:ascii="宋体" w:cs="Times New Roman"/>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35" w:hRule="exact"/>
        </w:trPr>
        <w:tc>
          <w:tcPr>
            <w:tcW w:w="1362" w:type="dxa"/>
            <w:vAlign w:val="center"/>
          </w:tcPr>
          <w:p>
            <w:pPr>
              <w:spacing w:line="360" w:lineRule="atLeast"/>
              <w:jc w:val="center"/>
              <w:rPr>
                <w:rFonts w:ascii="宋体" w:cs="Times New Roman"/>
                <w:highlight w:val="none"/>
              </w:rPr>
            </w:pPr>
          </w:p>
        </w:tc>
        <w:tc>
          <w:tcPr>
            <w:tcW w:w="3932" w:type="dxa"/>
            <w:gridSpan w:val="3"/>
            <w:vAlign w:val="center"/>
          </w:tcPr>
          <w:p>
            <w:pPr>
              <w:spacing w:line="360" w:lineRule="atLeast"/>
              <w:jc w:val="center"/>
              <w:rPr>
                <w:rFonts w:ascii="宋体" w:cs="Times New Roman"/>
                <w:highlight w:val="none"/>
              </w:rPr>
            </w:pPr>
          </w:p>
        </w:tc>
        <w:tc>
          <w:tcPr>
            <w:tcW w:w="1518" w:type="dxa"/>
            <w:vAlign w:val="center"/>
          </w:tcPr>
          <w:p>
            <w:pPr>
              <w:spacing w:line="360" w:lineRule="atLeast"/>
              <w:jc w:val="center"/>
              <w:rPr>
                <w:rFonts w:ascii="宋体" w:cs="Times New Roman"/>
                <w:highlight w:val="none"/>
              </w:rPr>
            </w:pPr>
          </w:p>
        </w:tc>
        <w:tc>
          <w:tcPr>
            <w:tcW w:w="2383" w:type="dxa"/>
            <w:gridSpan w:val="2"/>
            <w:vAlign w:val="center"/>
          </w:tcPr>
          <w:p>
            <w:pPr>
              <w:spacing w:line="360" w:lineRule="atLeast"/>
              <w:jc w:val="center"/>
              <w:rPr>
                <w:rFonts w:ascii="宋体" w:cs="Times New Roman"/>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35" w:hRule="exact"/>
        </w:trPr>
        <w:tc>
          <w:tcPr>
            <w:tcW w:w="1362" w:type="dxa"/>
            <w:vAlign w:val="center"/>
          </w:tcPr>
          <w:p>
            <w:pPr>
              <w:spacing w:line="360" w:lineRule="atLeast"/>
              <w:jc w:val="center"/>
              <w:rPr>
                <w:rFonts w:ascii="宋体" w:cs="Times New Roman"/>
                <w:highlight w:val="none"/>
              </w:rPr>
            </w:pPr>
          </w:p>
        </w:tc>
        <w:tc>
          <w:tcPr>
            <w:tcW w:w="3932" w:type="dxa"/>
            <w:gridSpan w:val="3"/>
            <w:vAlign w:val="center"/>
          </w:tcPr>
          <w:p>
            <w:pPr>
              <w:spacing w:line="360" w:lineRule="atLeast"/>
              <w:jc w:val="center"/>
              <w:rPr>
                <w:rFonts w:ascii="宋体" w:cs="Times New Roman"/>
                <w:highlight w:val="none"/>
              </w:rPr>
            </w:pPr>
          </w:p>
        </w:tc>
        <w:tc>
          <w:tcPr>
            <w:tcW w:w="1518" w:type="dxa"/>
            <w:vAlign w:val="center"/>
          </w:tcPr>
          <w:p>
            <w:pPr>
              <w:spacing w:line="360" w:lineRule="atLeast"/>
              <w:jc w:val="center"/>
              <w:rPr>
                <w:rFonts w:ascii="宋体" w:cs="Times New Roman"/>
                <w:highlight w:val="none"/>
              </w:rPr>
            </w:pPr>
          </w:p>
        </w:tc>
        <w:tc>
          <w:tcPr>
            <w:tcW w:w="2383" w:type="dxa"/>
            <w:gridSpan w:val="2"/>
            <w:vAlign w:val="center"/>
          </w:tcPr>
          <w:p>
            <w:pPr>
              <w:spacing w:line="360" w:lineRule="atLeast"/>
              <w:jc w:val="center"/>
              <w:rPr>
                <w:rFonts w:ascii="宋体" w:cs="Times New Roman"/>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35" w:hRule="exact"/>
        </w:trPr>
        <w:tc>
          <w:tcPr>
            <w:tcW w:w="1362" w:type="dxa"/>
            <w:vAlign w:val="center"/>
          </w:tcPr>
          <w:p>
            <w:pPr>
              <w:spacing w:line="360" w:lineRule="atLeast"/>
              <w:jc w:val="center"/>
              <w:rPr>
                <w:rFonts w:ascii="宋体" w:cs="Times New Roman"/>
                <w:highlight w:val="none"/>
              </w:rPr>
            </w:pPr>
          </w:p>
        </w:tc>
        <w:tc>
          <w:tcPr>
            <w:tcW w:w="3932" w:type="dxa"/>
            <w:gridSpan w:val="3"/>
            <w:vAlign w:val="center"/>
          </w:tcPr>
          <w:p>
            <w:pPr>
              <w:spacing w:line="360" w:lineRule="atLeast"/>
              <w:jc w:val="center"/>
              <w:rPr>
                <w:rFonts w:ascii="宋体" w:cs="Times New Roman"/>
                <w:highlight w:val="none"/>
              </w:rPr>
            </w:pPr>
          </w:p>
        </w:tc>
        <w:tc>
          <w:tcPr>
            <w:tcW w:w="1518" w:type="dxa"/>
            <w:vAlign w:val="center"/>
          </w:tcPr>
          <w:p>
            <w:pPr>
              <w:spacing w:line="360" w:lineRule="atLeast"/>
              <w:jc w:val="center"/>
              <w:rPr>
                <w:rFonts w:ascii="宋体" w:cs="Times New Roman"/>
                <w:highlight w:val="none"/>
              </w:rPr>
            </w:pPr>
          </w:p>
        </w:tc>
        <w:tc>
          <w:tcPr>
            <w:tcW w:w="2383" w:type="dxa"/>
            <w:gridSpan w:val="2"/>
            <w:vAlign w:val="center"/>
          </w:tcPr>
          <w:p>
            <w:pPr>
              <w:spacing w:line="360" w:lineRule="atLeast"/>
              <w:jc w:val="center"/>
              <w:rPr>
                <w:rFonts w:ascii="宋体" w:cs="Times New Roman"/>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35" w:hRule="exact"/>
        </w:trPr>
        <w:tc>
          <w:tcPr>
            <w:tcW w:w="1362" w:type="dxa"/>
            <w:vAlign w:val="center"/>
          </w:tcPr>
          <w:p>
            <w:pPr>
              <w:spacing w:line="360" w:lineRule="atLeast"/>
              <w:jc w:val="center"/>
              <w:rPr>
                <w:rFonts w:ascii="宋体" w:cs="Times New Roman"/>
                <w:highlight w:val="none"/>
              </w:rPr>
            </w:pPr>
          </w:p>
        </w:tc>
        <w:tc>
          <w:tcPr>
            <w:tcW w:w="3932" w:type="dxa"/>
            <w:gridSpan w:val="3"/>
            <w:vAlign w:val="center"/>
          </w:tcPr>
          <w:p>
            <w:pPr>
              <w:spacing w:line="360" w:lineRule="atLeast"/>
              <w:jc w:val="center"/>
              <w:rPr>
                <w:rFonts w:ascii="宋体" w:cs="Times New Roman"/>
                <w:highlight w:val="none"/>
              </w:rPr>
            </w:pPr>
          </w:p>
        </w:tc>
        <w:tc>
          <w:tcPr>
            <w:tcW w:w="1518" w:type="dxa"/>
            <w:vAlign w:val="center"/>
          </w:tcPr>
          <w:p>
            <w:pPr>
              <w:spacing w:line="360" w:lineRule="atLeast"/>
              <w:jc w:val="center"/>
              <w:rPr>
                <w:rFonts w:ascii="宋体" w:cs="Times New Roman"/>
                <w:highlight w:val="none"/>
              </w:rPr>
            </w:pPr>
          </w:p>
        </w:tc>
        <w:tc>
          <w:tcPr>
            <w:tcW w:w="2383" w:type="dxa"/>
            <w:gridSpan w:val="2"/>
            <w:vAlign w:val="center"/>
          </w:tcPr>
          <w:p>
            <w:pPr>
              <w:spacing w:line="360" w:lineRule="atLeast"/>
              <w:jc w:val="center"/>
              <w:rPr>
                <w:rFonts w:ascii="宋体" w:cs="Times New Roman"/>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35" w:hRule="exact"/>
        </w:trPr>
        <w:tc>
          <w:tcPr>
            <w:tcW w:w="1362" w:type="dxa"/>
            <w:tcBorders>
              <w:bottom w:val="double" w:color="auto" w:sz="4" w:space="0"/>
            </w:tcBorders>
            <w:vAlign w:val="center"/>
          </w:tcPr>
          <w:p>
            <w:pPr>
              <w:spacing w:line="360" w:lineRule="atLeast"/>
              <w:jc w:val="center"/>
              <w:rPr>
                <w:rFonts w:ascii="宋体" w:cs="Times New Roman"/>
                <w:highlight w:val="none"/>
              </w:rPr>
            </w:pPr>
          </w:p>
        </w:tc>
        <w:tc>
          <w:tcPr>
            <w:tcW w:w="3932" w:type="dxa"/>
            <w:gridSpan w:val="3"/>
            <w:tcBorders>
              <w:bottom w:val="double" w:color="auto" w:sz="4" w:space="0"/>
            </w:tcBorders>
            <w:vAlign w:val="center"/>
          </w:tcPr>
          <w:p>
            <w:pPr>
              <w:spacing w:line="360" w:lineRule="atLeast"/>
              <w:jc w:val="center"/>
              <w:rPr>
                <w:rFonts w:ascii="宋体" w:cs="Times New Roman"/>
                <w:highlight w:val="none"/>
              </w:rPr>
            </w:pPr>
          </w:p>
        </w:tc>
        <w:tc>
          <w:tcPr>
            <w:tcW w:w="1518" w:type="dxa"/>
            <w:tcBorders>
              <w:bottom w:val="double" w:color="auto" w:sz="4" w:space="0"/>
            </w:tcBorders>
            <w:vAlign w:val="center"/>
          </w:tcPr>
          <w:p>
            <w:pPr>
              <w:spacing w:line="360" w:lineRule="atLeast"/>
              <w:jc w:val="center"/>
              <w:rPr>
                <w:rFonts w:ascii="宋体" w:cs="Times New Roman"/>
                <w:highlight w:val="none"/>
              </w:rPr>
            </w:pPr>
          </w:p>
        </w:tc>
        <w:tc>
          <w:tcPr>
            <w:tcW w:w="2383" w:type="dxa"/>
            <w:gridSpan w:val="2"/>
            <w:tcBorders>
              <w:bottom w:val="double" w:color="auto" w:sz="4" w:space="0"/>
            </w:tcBorders>
            <w:vAlign w:val="center"/>
          </w:tcPr>
          <w:p>
            <w:pPr>
              <w:spacing w:line="360" w:lineRule="atLeast"/>
              <w:jc w:val="center"/>
              <w:rPr>
                <w:rFonts w:ascii="宋体" w:cs="Times New Roman"/>
                <w:highlight w:val="none"/>
              </w:rPr>
            </w:pPr>
          </w:p>
        </w:tc>
      </w:tr>
    </w:tbl>
    <w:p>
      <w:pPr>
        <w:spacing w:line="360" w:lineRule="atLeast"/>
        <w:rPr>
          <w:rFonts w:ascii="宋体" w:cs="Times New Roman"/>
          <w:highlight w:val="none"/>
        </w:rPr>
      </w:pPr>
      <w:r>
        <w:rPr>
          <w:rFonts w:hint="eastAsia" w:ascii="宋体" w:hAnsi="宋体" w:cs="仿宋_GB2312"/>
          <w:highlight w:val="none"/>
        </w:rPr>
        <w:t>说明：主要人员证书、类似项目证明资料等按附页的要求提供。</w:t>
      </w:r>
    </w:p>
    <w:p>
      <w:pPr>
        <w:adjustRightInd w:val="0"/>
        <w:snapToGrid w:val="0"/>
        <w:spacing w:line="360" w:lineRule="auto"/>
        <w:rPr>
          <w:rFonts w:ascii="宋体" w:cs="Times New Roman"/>
          <w:highlight w:val="none"/>
        </w:rPr>
      </w:pPr>
    </w:p>
    <w:p>
      <w:pPr>
        <w:rPr>
          <w:rFonts w:ascii="宋体" w:cs="Times New Roman"/>
          <w:highlight w:val="none"/>
        </w:rPr>
      </w:pPr>
    </w:p>
    <w:p>
      <w:pPr>
        <w:pStyle w:val="12"/>
        <w:adjustRightInd w:val="0"/>
        <w:snapToGrid w:val="0"/>
        <w:spacing w:line="360" w:lineRule="auto"/>
        <w:outlineLvl w:val="0"/>
        <w:rPr>
          <w:rFonts w:ascii="宋体"/>
          <w:bCs/>
          <w:sz w:val="21"/>
          <w:szCs w:val="21"/>
          <w:highlight w:val="none"/>
        </w:rPr>
      </w:pPr>
      <w:r>
        <w:rPr>
          <w:rFonts w:hint="eastAsia" w:ascii="宋体" w:hAnsi="宋体"/>
          <w:sz w:val="21"/>
          <w:szCs w:val="21"/>
          <w:highlight w:val="none"/>
        </w:rPr>
        <w:t>供应商名称：</w:t>
      </w:r>
    </w:p>
    <w:p>
      <w:pPr>
        <w:adjustRightInd w:val="0"/>
        <w:snapToGrid w:val="0"/>
        <w:spacing w:line="360" w:lineRule="auto"/>
        <w:outlineLvl w:val="0"/>
        <w:rPr>
          <w:rFonts w:ascii="宋体"/>
          <w:highlight w:val="none"/>
        </w:rPr>
      </w:pPr>
      <w:r>
        <w:rPr>
          <w:rFonts w:hint="eastAsia" w:ascii="宋体" w:hAnsi="宋体"/>
          <w:highlight w:val="none"/>
        </w:rPr>
        <w:t>负责人或其委托代理人</w:t>
      </w:r>
      <w:r>
        <w:rPr>
          <w:rFonts w:ascii="宋体" w:hAnsi="宋体"/>
          <w:highlight w:val="none"/>
        </w:rPr>
        <w:t>(</w:t>
      </w:r>
      <w:r>
        <w:rPr>
          <w:rFonts w:hint="eastAsia" w:ascii="宋体" w:hAnsi="宋体"/>
          <w:highlight w:val="none"/>
        </w:rPr>
        <w:t>签字</w:t>
      </w:r>
      <w:r>
        <w:rPr>
          <w:rFonts w:ascii="宋体" w:hAnsi="宋体"/>
          <w:highlight w:val="none"/>
        </w:rPr>
        <w:t>)</w:t>
      </w:r>
      <w:r>
        <w:rPr>
          <w:rFonts w:hint="eastAsia" w:ascii="宋体" w:hAnsi="宋体"/>
          <w:highlight w:val="none"/>
        </w:rPr>
        <w:t>：</w:t>
      </w:r>
    </w:p>
    <w:p>
      <w:pPr>
        <w:adjustRightInd w:val="0"/>
        <w:snapToGrid w:val="0"/>
        <w:spacing w:line="360" w:lineRule="auto"/>
        <w:rPr>
          <w:rFonts w:ascii="宋体"/>
          <w:highlight w:val="none"/>
        </w:rPr>
      </w:pPr>
      <w:r>
        <w:rPr>
          <w:rFonts w:hint="eastAsia" w:ascii="宋体" w:hAnsi="宋体"/>
          <w:highlight w:val="none"/>
        </w:rPr>
        <w:t>日期：</w:t>
      </w:r>
      <w:r>
        <w:rPr>
          <w:rFonts w:ascii="宋体" w:hAnsi="宋体"/>
          <w:highlight w:val="none"/>
        </w:rPr>
        <w:t xml:space="preserve">  </w:t>
      </w:r>
      <w:r>
        <w:rPr>
          <w:rFonts w:hint="eastAsia" w:ascii="宋体" w:hAnsi="宋体"/>
          <w:highlight w:val="none"/>
        </w:rPr>
        <w:t>年</w:t>
      </w:r>
      <w:r>
        <w:rPr>
          <w:rFonts w:ascii="宋体" w:hAnsi="宋体"/>
          <w:highlight w:val="none"/>
        </w:rPr>
        <w:t xml:space="preserve">  </w:t>
      </w:r>
      <w:r>
        <w:rPr>
          <w:rFonts w:hint="eastAsia" w:ascii="宋体" w:hAnsi="宋体"/>
          <w:highlight w:val="none"/>
        </w:rPr>
        <w:t>月</w:t>
      </w:r>
      <w:r>
        <w:rPr>
          <w:rFonts w:ascii="宋体" w:hAnsi="宋体"/>
          <w:highlight w:val="none"/>
        </w:rPr>
        <w:t xml:space="preserve">  </w:t>
      </w:r>
      <w:r>
        <w:rPr>
          <w:rFonts w:hint="eastAsia" w:ascii="宋体" w:hAnsi="宋体"/>
          <w:highlight w:val="none"/>
        </w:rPr>
        <w:t>日</w:t>
      </w:r>
    </w:p>
    <w:p>
      <w:pPr>
        <w:spacing w:line="360" w:lineRule="exact"/>
        <w:rPr>
          <w:rFonts w:ascii="宋体" w:cs="Times New Roman"/>
          <w:highlight w:val="none"/>
        </w:rPr>
      </w:pPr>
    </w:p>
    <w:p>
      <w:pPr>
        <w:spacing w:line="360" w:lineRule="exact"/>
        <w:rPr>
          <w:rFonts w:ascii="宋体" w:cs="Times New Roman"/>
          <w:highlight w:val="none"/>
        </w:rPr>
      </w:pPr>
    </w:p>
    <w:p>
      <w:pPr>
        <w:spacing w:line="360" w:lineRule="exact"/>
        <w:rPr>
          <w:rFonts w:ascii="宋体" w:cs="Times New Roman"/>
          <w:highlight w:val="none"/>
        </w:rPr>
      </w:pPr>
    </w:p>
    <w:p>
      <w:pPr>
        <w:spacing w:line="360" w:lineRule="exact"/>
        <w:rPr>
          <w:rFonts w:ascii="宋体" w:cs="Times New Roman"/>
          <w:highlight w:val="none"/>
        </w:rPr>
      </w:pPr>
    </w:p>
    <w:p>
      <w:pPr>
        <w:spacing w:line="360" w:lineRule="exact"/>
        <w:rPr>
          <w:rFonts w:ascii="宋体" w:cs="Times New Roman"/>
          <w:highlight w:val="none"/>
        </w:rPr>
      </w:pPr>
    </w:p>
    <w:p>
      <w:pPr>
        <w:adjustRightInd w:val="0"/>
        <w:snapToGrid w:val="0"/>
        <w:spacing w:line="360" w:lineRule="auto"/>
        <w:rPr>
          <w:rFonts w:ascii="仿宋_GB2312" w:hAnsi="宋体" w:eastAsia="Times New Roman" w:cs="Times New Roman"/>
          <w:highlight w:val="none"/>
        </w:rPr>
      </w:pPr>
    </w:p>
    <w:p>
      <w:pPr>
        <w:adjustRightInd w:val="0"/>
        <w:snapToGrid w:val="0"/>
        <w:spacing w:line="360" w:lineRule="auto"/>
        <w:jc w:val="center"/>
        <w:outlineLvl w:val="0"/>
        <w:rPr>
          <w:rFonts w:ascii="黑体" w:hAnsi="宋体" w:eastAsia="黑体" w:cs="Times New Roman"/>
          <w:b/>
          <w:bCs/>
          <w:sz w:val="30"/>
          <w:szCs w:val="30"/>
          <w:highlight w:val="none"/>
        </w:rPr>
      </w:pPr>
      <w:r>
        <w:rPr>
          <w:rFonts w:hint="eastAsia" w:ascii="黑体" w:eastAsia="黑体" w:cs="黑体"/>
          <w:b/>
          <w:bCs/>
          <w:sz w:val="30"/>
          <w:szCs w:val="30"/>
          <w:highlight w:val="none"/>
        </w:rPr>
        <w:t>六、</w:t>
      </w:r>
      <w:bookmarkStart w:id="9" w:name="_Hlk84521531"/>
      <w:r>
        <w:rPr>
          <w:rFonts w:hint="eastAsia" w:ascii="黑体" w:hAnsi="宋体" w:eastAsia="黑体" w:cs="黑体"/>
          <w:b/>
          <w:bCs/>
          <w:sz w:val="30"/>
          <w:szCs w:val="30"/>
          <w:highlight w:val="none"/>
        </w:rPr>
        <w:t>采购需求</w:t>
      </w:r>
      <w:r>
        <w:rPr>
          <w:rFonts w:ascii="黑体" w:hAnsi="宋体" w:eastAsia="黑体" w:cs="黑体"/>
          <w:b/>
          <w:bCs/>
          <w:sz w:val="30"/>
          <w:szCs w:val="30"/>
          <w:highlight w:val="none"/>
        </w:rPr>
        <w:t>/</w:t>
      </w:r>
      <w:r>
        <w:rPr>
          <w:rFonts w:hint="eastAsia" w:ascii="黑体" w:eastAsia="黑体" w:cs="黑体"/>
          <w:b/>
          <w:bCs/>
          <w:sz w:val="30"/>
          <w:szCs w:val="30"/>
          <w:highlight w:val="none"/>
        </w:rPr>
        <w:t>合同条款</w:t>
      </w:r>
      <w:bookmarkEnd w:id="9"/>
      <w:r>
        <w:rPr>
          <w:rFonts w:hint="eastAsia" w:ascii="黑体" w:hAnsi="宋体" w:eastAsia="黑体" w:cs="黑体"/>
          <w:b/>
          <w:bCs/>
          <w:sz w:val="30"/>
          <w:szCs w:val="30"/>
          <w:highlight w:val="none"/>
        </w:rPr>
        <w:t>偏离表</w:t>
      </w:r>
    </w:p>
    <w:p>
      <w:pPr>
        <w:adjustRightInd w:val="0"/>
        <w:snapToGrid w:val="0"/>
        <w:ind w:left="-88" w:leftChars="-42" w:firstLine="315" w:firstLineChars="150"/>
        <w:rPr>
          <w:rFonts w:ascii="宋体" w:cs="Times New Roman"/>
          <w:highlight w:val="none"/>
          <w:u w:val="single"/>
        </w:rPr>
      </w:pPr>
    </w:p>
    <w:tbl>
      <w:tblPr>
        <w:tblStyle w:val="19"/>
        <w:tblW w:w="8742" w:type="dxa"/>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28" w:type="dxa"/>
          <w:bottom w:w="0" w:type="dxa"/>
          <w:right w:w="28" w:type="dxa"/>
        </w:tblCellMar>
      </w:tblPr>
      <w:tblGrid>
        <w:gridCol w:w="634"/>
        <w:gridCol w:w="1685"/>
        <w:gridCol w:w="1948"/>
        <w:gridCol w:w="2600"/>
        <w:gridCol w:w="1214"/>
        <w:gridCol w:w="661"/>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28" w:type="dxa"/>
            <w:bottom w:w="0" w:type="dxa"/>
            <w:right w:w="28" w:type="dxa"/>
          </w:tblCellMar>
        </w:tblPrEx>
        <w:trPr>
          <w:trHeight w:val="504" w:hRule="atLeast"/>
          <w:jc w:val="center"/>
        </w:trPr>
        <w:tc>
          <w:tcPr>
            <w:tcW w:w="634" w:type="dxa"/>
            <w:tcBorders>
              <w:top w:val="double" w:color="auto" w:sz="4" w:space="0"/>
            </w:tcBorders>
            <w:vAlign w:val="center"/>
          </w:tcPr>
          <w:p>
            <w:pPr>
              <w:adjustRightInd w:val="0"/>
              <w:snapToGrid w:val="0"/>
              <w:ind w:left="-88" w:leftChars="-42"/>
              <w:jc w:val="center"/>
              <w:rPr>
                <w:rFonts w:ascii="宋体" w:cs="Times New Roman"/>
                <w:highlight w:val="none"/>
              </w:rPr>
            </w:pPr>
            <w:r>
              <w:rPr>
                <w:rFonts w:hint="eastAsia" w:ascii="宋体" w:hAnsi="宋体" w:cs="宋体"/>
                <w:highlight w:val="none"/>
              </w:rPr>
              <w:t>序号</w:t>
            </w:r>
          </w:p>
        </w:tc>
        <w:tc>
          <w:tcPr>
            <w:tcW w:w="1685" w:type="dxa"/>
            <w:tcBorders>
              <w:top w:val="double" w:color="auto" w:sz="4" w:space="0"/>
            </w:tcBorders>
            <w:vAlign w:val="center"/>
          </w:tcPr>
          <w:p>
            <w:pPr>
              <w:adjustRightInd w:val="0"/>
              <w:snapToGrid w:val="0"/>
              <w:ind w:left="-88" w:leftChars="-42"/>
              <w:jc w:val="center"/>
              <w:rPr>
                <w:rFonts w:ascii="宋体" w:cs="Times New Roman"/>
                <w:highlight w:val="none"/>
              </w:rPr>
            </w:pPr>
            <w:r>
              <w:rPr>
                <w:rFonts w:hint="eastAsia" w:ascii="宋体" w:hAnsi="宋体" w:cs="宋体"/>
                <w:highlight w:val="none"/>
              </w:rPr>
              <w:t>磋商文件条目号</w:t>
            </w:r>
          </w:p>
        </w:tc>
        <w:tc>
          <w:tcPr>
            <w:tcW w:w="1948" w:type="dxa"/>
            <w:tcBorders>
              <w:top w:val="double" w:color="auto" w:sz="4" w:space="0"/>
            </w:tcBorders>
            <w:vAlign w:val="center"/>
          </w:tcPr>
          <w:p>
            <w:pPr>
              <w:adjustRightInd w:val="0"/>
              <w:snapToGrid w:val="0"/>
              <w:ind w:left="-88" w:leftChars="-42"/>
              <w:jc w:val="center"/>
              <w:rPr>
                <w:rFonts w:ascii="宋体" w:cs="Times New Roman"/>
                <w:highlight w:val="none"/>
              </w:rPr>
            </w:pPr>
            <w:r>
              <w:rPr>
                <w:rFonts w:hint="eastAsia" w:ascii="宋体" w:hAnsi="宋体" w:cs="宋体"/>
                <w:highlight w:val="none"/>
              </w:rPr>
              <w:t>采购文件的采购需求/合同条款</w:t>
            </w:r>
          </w:p>
        </w:tc>
        <w:tc>
          <w:tcPr>
            <w:tcW w:w="2600" w:type="dxa"/>
            <w:tcBorders>
              <w:top w:val="double" w:color="auto" w:sz="4" w:space="0"/>
            </w:tcBorders>
            <w:vAlign w:val="center"/>
          </w:tcPr>
          <w:p>
            <w:pPr>
              <w:adjustRightInd w:val="0"/>
              <w:snapToGrid w:val="0"/>
              <w:ind w:left="-88" w:leftChars="-42"/>
              <w:jc w:val="center"/>
              <w:rPr>
                <w:rFonts w:ascii="宋体" w:cs="Times New Roman"/>
                <w:highlight w:val="none"/>
              </w:rPr>
            </w:pPr>
            <w:r>
              <w:rPr>
                <w:rFonts w:hint="eastAsia" w:ascii="宋体" w:hAnsi="宋体" w:cs="宋体"/>
                <w:highlight w:val="none"/>
              </w:rPr>
              <w:t>响应文件的采购需求/合同条款</w:t>
            </w:r>
          </w:p>
        </w:tc>
        <w:tc>
          <w:tcPr>
            <w:tcW w:w="1214" w:type="dxa"/>
            <w:tcBorders>
              <w:top w:val="double" w:color="auto" w:sz="4" w:space="0"/>
            </w:tcBorders>
            <w:vAlign w:val="center"/>
          </w:tcPr>
          <w:p>
            <w:pPr>
              <w:adjustRightInd w:val="0"/>
              <w:snapToGrid w:val="0"/>
              <w:ind w:left="-88" w:leftChars="-42"/>
              <w:jc w:val="center"/>
              <w:rPr>
                <w:rFonts w:ascii="宋体" w:cs="Times New Roman"/>
                <w:highlight w:val="none"/>
              </w:rPr>
            </w:pPr>
            <w:r>
              <w:rPr>
                <w:rFonts w:hint="eastAsia" w:ascii="宋体" w:hAnsi="宋体" w:cs="宋体"/>
                <w:highlight w:val="none"/>
              </w:rPr>
              <w:t>偏离</w:t>
            </w:r>
          </w:p>
        </w:tc>
        <w:tc>
          <w:tcPr>
            <w:tcW w:w="661" w:type="dxa"/>
            <w:tcBorders>
              <w:top w:val="double" w:color="auto" w:sz="4" w:space="0"/>
            </w:tcBorders>
            <w:vAlign w:val="center"/>
          </w:tcPr>
          <w:p>
            <w:pPr>
              <w:adjustRightInd w:val="0"/>
              <w:snapToGrid w:val="0"/>
              <w:ind w:left="-88" w:leftChars="-42"/>
              <w:jc w:val="center"/>
              <w:rPr>
                <w:rFonts w:ascii="宋体" w:cs="Times New Roman"/>
                <w:highlight w:val="none"/>
              </w:rPr>
            </w:pPr>
            <w:r>
              <w:rPr>
                <w:rFonts w:hint="eastAsia" w:ascii="宋体" w:hAnsi="宋体" w:cs="宋体"/>
                <w:highlight w:val="none"/>
              </w:rPr>
              <w:t>说明</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634" w:type="dxa"/>
          </w:tcPr>
          <w:p>
            <w:pPr>
              <w:adjustRightInd w:val="0"/>
              <w:snapToGrid w:val="0"/>
              <w:ind w:left="-88" w:leftChars="-42"/>
              <w:jc w:val="center"/>
              <w:rPr>
                <w:rFonts w:ascii="宋体" w:cs="Times New Roman"/>
                <w:highlight w:val="none"/>
              </w:rPr>
            </w:pPr>
          </w:p>
        </w:tc>
        <w:tc>
          <w:tcPr>
            <w:tcW w:w="1685" w:type="dxa"/>
            <w:vAlign w:val="center"/>
          </w:tcPr>
          <w:p>
            <w:pPr>
              <w:adjustRightInd w:val="0"/>
              <w:snapToGrid w:val="0"/>
              <w:ind w:left="-88" w:leftChars="-42"/>
              <w:jc w:val="center"/>
              <w:rPr>
                <w:rFonts w:ascii="宋体" w:cs="Times New Roman"/>
                <w:highlight w:val="none"/>
              </w:rPr>
            </w:pPr>
          </w:p>
        </w:tc>
        <w:tc>
          <w:tcPr>
            <w:tcW w:w="1948" w:type="dxa"/>
            <w:vAlign w:val="center"/>
          </w:tcPr>
          <w:p>
            <w:pPr>
              <w:adjustRightInd w:val="0"/>
              <w:snapToGrid w:val="0"/>
              <w:ind w:left="-88" w:leftChars="-42"/>
              <w:jc w:val="center"/>
              <w:rPr>
                <w:rFonts w:ascii="宋体" w:cs="Times New Roman"/>
                <w:highlight w:val="none"/>
              </w:rPr>
            </w:pPr>
          </w:p>
        </w:tc>
        <w:tc>
          <w:tcPr>
            <w:tcW w:w="2600" w:type="dxa"/>
            <w:vAlign w:val="center"/>
          </w:tcPr>
          <w:p>
            <w:pPr>
              <w:adjustRightInd w:val="0"/>
              <w:snapToGrid w:val="0"/>
              <w:ind w:left="-88" w:leftChars="-42"/>
              <w:jc w:val="center"/>
              <w:rPr>
                <w:rFonts w:ascii="宋体" w:cs="Times New Roman"/>
                <w:highlight w:val="none"/>
              </w:rPr>
            </w:pPr>
          </w:p>
        </w:tc>
        <w:tc>
          <w:tcPr>
            <w:tcW w:w="1214" w:type="dxa"/>
            <w:vAlign w:val="center"/>
          </w:tcPr>
          <w:p>
            <w:pPr>
              <w:adjustRightInd w:val="0"/>
              <w:snapToGrid w:val="0"/>
              <w:ind w:left="-88" w:leftChars="-42"/>
              <w:jc w:val="center"/>
              <w:rPr>
                <w:rFonts w:ascii="宋体" w:cs="Times New Roman"/>
                <w:highlight w:val="none"/>
              </w:rPr>
            </w:pPr>
          </w:p>
        </w:tc>
        <w:tc>
          <w:tcPr>
            <w:tcW w:w="661" w:type="dxa"/>
            <w:vAlign w:val="center"/>
          </w:tcPr>
          <w:p>
            <w:pPr>
              <w:adjustRightInd w:val="0"/>
              <w:snapToGrid w:val="0"/>
              <w:ind w:left="-88" w:leftChars="-42"/>
              <w:jc w:val="center"/>
              <w:rPr>
                <w:rFonts w:ascii="宋体" w:cs="Times New Roman"/>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634" w:type="dxa"/>
          </w:tcPr>
          <w:p>
            <w:pPr>
              <w:adjustRightInd w:val="0"/>
              <w:snapToGrid w:val="0"/>
              <w:ind w:left="-88" w:leftChars="-42"/>
              <w:jc w:val="center"/>
              <w:rPr>
                <w:rFonts w:ascii="宋体" w:cs="Times New Roman"/>
                <w:highlight w:val="none"/>
              </w:rPr>
            </w:pPr>
          </w:p>
        </w:tc>
        <w:tc>
          <w:tcPr>
            <w:tcW w:w="1685" w:type="dxa"/>
            <w:vAlign w:val="center"/>
          </w:tcPr>
          <w:p>
            <w:pPr>
              <w:adjustRightInd w:val="0"/>
              <w:snapToGrid w:val="0"/>
              <w:ind w:left="-88" w:leftChars="-42"/>
              <w:jc w:val="center"/>
              <w:rPr>
                <w:rFonts w:ascii="宋体" w:cs="Times New Roman"/>
                <w:highlight w:val="none"/>
              </w:rPr>
            </w:pPr>
          </w:p>
        </w:tc>
        <w:tc>
          <w:tcPr>
            <w:tcW w:w="1948" w:type="dxa"/>
            <w:vAlign w:val="center"/>
          </w:tcPr>
          <w:p>
            <w:pPr>
              <w:adjustRightInd w:val="0"/>
              <w:snapToGrid w:val="0"/>
              <w:ind w:left="-88" w:leftChars="-42"/>
              <w:jc w:val="center"/>
              <w:rPr>
                <w:rFonts w:ascii="宋体" w:cs="Times New Roman"/>
                <w:highlight w:val="none"/>
              </w:rPr>
            </w:pPr>
          </w:p>
        </w:tc>
        <w:tc>
          <w:tcPr>
            <w:tcW w:w="2600" w:type="dxa"/>
            <w:vAlign w:val="center"/>
          </w:tcPr>
          <w:p>
            <w:pPr>
              <w:adjustRightInd w:val="0"/>
              <w:snapToGrid w:val="0"/>
              <w:ind w:left="-88" w:leftChars="-42"/>
              <w:jc w:val="center"/>
              <w:rPr>
                <w:rFonts w:ascii="宋体" w:cs="Times New Roman"/>
                <w:highlight w:val="none"/>
              </w:rPr>
            </w:pPr>
          </w:p>
        </w:tc>
        <w:tc>
          <w:tcPr>
            <w:tcW w:w="1214" w:type="dxa"/>
            <w:vAlign w:val="center"/>
          </w:tcPr>
          <w:p>
            <w:pPr>
              <w:adjustRightInd w:val="0"/>
              <w:snapToGrid w:val="0"/>
              <w:ind w:left="-88" w:leftChars="-42"/>
              <w:jc w:val="center"/>
              <w:rPr>
                <w:rFonts w:ascii="宋体" w:cs="Times New Roman"/>
                <w:highlight w:val="none"/>
              </w:rPr>
            </w:pPr>
          </w:p>
        </w:tc>
        <w:tc>
          <w:tcPr>
            <w:tcW w:w="661" w:type="dxa"/>
            <w:vAlign w:val="center"/>
          </w:tcPr>
          <w:p>
            <w:pPr>
              <w:adjustRightInd w:val="0"/>
              <w:snapToGrid w:val="0"/>
              <w:ind w:left="-88" w:leftChars="-42"/>
              <w:jc w:val="center"/>
              <w:rPr>
                <w:rFonts w:ascii="宋体" w:cs="Times New Roman"/>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634" w:type="dxa"/>
          </w:tcPr>
          <w:p>
            <w:pPr>
              <w:adjustRightInd w:val="0"/>
              <w:snapToGrid w:val="0"/>
              <w:ind w:left="-88" w:leftChars="-42"/>
              <w:jc w:val="center"/>
              <w:rPr>
                <w:rFonts w:ascii="宋体" w:cs="Times New Roman"/>
                <w:highlight w:val="none"/>
              </w:rPr>
            </w:pPr>
          </w:p>
        </w:tc>
        <w:tc>
          <w:tcPr>
            <w:tcW w:w="1685" w:type="dxa"/>
            <w:vAlign w:val="center"/>
          </w:tcPr>
          <w:p>
            <w:pPr>
              <w:adjustRightInd w:val="0"/>
              <w:snapToGrid w:val="0"/>
              <w:ind w:left="-88" w:leftChars="-42"/>
              <w:jc w:val="center"/>
              <w:rPr>
                <w:rFonts w:ascii="宋体" w:cs="Times New Roman"/>
                <w:highlight w:val="none"/>
              </w:rPr>
            </w:pPr>
          </w:p>
        </w:tc>
        <w:tc>
          <w:tcPr>
            <w:tcW w:w="1948" w:type="dxa"/>
            <w:vAlign w:val="center"/>
          </w:tcPr>
          <w:p>
            <w:pPr>
              <w:adjustRightInd w:val="0"/>
              <w:snapToGrid w:val="0"/>
              <w:ind w:left="-88" w:leftChars="-42"/>
              <w:jc w:val="center"/>
              <w:rPr>
                <w:rFonts w:ascii="宋体" w:cs="Times New Roman"/>
                <w:highlight w:val="none"/>
              </w:rPr>
            </w:pPr>
          </w:p>
        </w:tc>
        <w:tc>
          <w:tcPr>
            <w:tcW w:w="2600" w:type="dxa"/>
            <w:vAlign w:val="center"/>
          </w:tcPr>
          <w:p>
            <w:pPr>
              <w:adjustRightInd w:val="0"/>
              <w:snapToGrid w:val="0"/>
              <w:ind w:left="-88" w:leftChars="-42"/>
              <w:jc w:val="center"/>
              <w:rPr>
                <w:rFonts w:ascii="宋体" w:cs="Times New Roman"/>
                <w:highlight w:val="none"/>
              </w:rPr>
            </w:pPr>
          </w:p>
        </w:tc>
        <w:tc>
          <w:tcPr>
            <w:tcW w:w="1214" w:type="dxa"/>
            <w:vAlign w:val="center"/>
          </w:tcPr>
          <w:p>
            <w:pPr>
              <w:adjustRightInd w:val="0"/>
              <w:snapToGrid w:val="0"/>
              <w:ind w:left="-88" w:leftChars="-42"/>
              <w:jc w:val="center"/>
              <w:rPr>
                <w:rFonts w:ascii="宋体" w:cs="Times New Roman"/>
                <w:highlight w:val="none"/>
              </w:rPr>
            </w:pPr>
          </w:p>
        </w:tc>
        <w:tc>
          <w:tcPr>
            <w:tcW w:w="661" w:type="dxa"/>
            <w:vAlign w:val="center"/>
          </w:tcPr>
          <w:p>
            <w:pPr>
              <w:adjustRightInd w:val="0"/>
              <w:snapToGrid w:val="0"/>
              <w:ind w:left="-88" w:leftChars="-42"/>
              <w:jc w:val="center"/>
              <w:rPr>
                <w:rFonts w:ascii="宋体" w:cs="Times New Roman"/>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634" w:type="dxa"/>
          </w:tcPr>
          <w:p>
            <w:pPr>
              <w:adjustRightInd w:val="0"/>
              <w:snapToGrid w:val="0"/>
              <w:ind w:left="-88" w:leftChars="-42"/>
              <w:jc w:val="center"/>
              <w:rPr>
                <w:rFonts w:ascii="宋体" w:cs="Times New Roman"/>
                <w:highlight w:val="none"/>
              </w:rPr>
            </w:pPr>
          </w:p>
        </w:tc>
        <w:tc>
          <w:tcPr>
            <w:tcW w:w="1685" w:type="dxa"/>
            <w:vAlign w:val="center"/>
          </w:tcPr>
          <w:p>
            <w:pPr>
              <w:adjustRightInd w:val="0"/>
              <w:snapToGrid w:val="0"/>
              <w:ind w:left="-88" w:leftChars="-42"/>
              <w:jc w:val="center"/>
              <w:rPr>
                <w:rFonts w:ascii="宋体" w:cs="Times New Roman"/>
                <w:highlight w:val="none"/>
              </w:rPr>
            </w:pPr>
          </w:p>
        </w:tc>
        <w:tc>
          <w:tcPr>
            <w:tcW w:w="1948" w:type="dxa"/>
            <w:vAlign w:val="center"/>
          </w:tcPr>
          <w:p>
            <w:pPr>
              <w:adjustRightInd w:val="0"/>
              <w:snapToGrid w:val="0"/>
              <w:ind w:left="-88" w:leftChars="-42"/>
              <w:jc w:val="center"/>
              <w:rPr>
                <w:rFonts w:ascii="宋体" w:cs="Times New Roman"/>
                <w:highlight w:val="none"/>
              </w:rPr>
            </w:pPr>
          </w:p>
        </w:tc>
        <w:tc>
          <w:tcPr>
            <w:tcW w:w="2600" w:type="dxa"/>
            <w:vAlign w:val="center"/>
          </w:tcPr>
          <w:p>
            <w:pPr>
              <w:adjustRightInd w:val="0"/>
              <w:snapToGrid w:val="0"/>
              <w:ind w:left="-88" w:leftChars="-42"/>
              <w:jc w:val="center"/>
              <w:rPr>
                <w:rFonts w:ascii="宋体" w:cs="Times New Roman"/>
                <w:highlight w:val="none"/>
              </w:rPr>
            </w:pPr>
          </w:p>
        </w:tc>
        <w:tc>
          <w:tcPr>
            <w:tcW w:w="1214" w:type="dxa"/>
            <w:vAlign w:val="center"/>
          </w:tcPr>
          <w:p>
            <w:pPr>
              <w:adjustRightInd w:val="0"/>
              <w:snapToGrid w:val="0"/>
              <w:ind w:left="-88" w:leftChars="-42"/>
              <w:jc w:val="center"/>
              <w:rPr>
                <w:rFonts w:ascii="宋体" w:cs="Times New Roman"/>
                <w:highlight w:val="none"/>
              </w:rPr>
            </w:pPr>
          </w:p>
        </w:tc>
        <w:tc>
          <w:tcPr>
            <w:tcW w:w="661" w:type="dxa"/>
            <w:vAlign w:val="center"/>
          </w:tcPr>
          <w:p>
            <w:pPr>
              <w:adjustRightInd w:val="0"/>
              <w:snapToGrid w:val="0"/>
              <w:ind w:left="-88" w:leftChars="-42"/>
              <w:jc w:val="center"/>
              <w:rPr>
                <w:rFonts w:ascii="宋体" w:cs="Times New Roman"/>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634" w:type="dxa"/>
            <w:tcBorders>
              <w:bottom w:val="double" w:color="auto" w:sz="4" w:space="0"/>
            </w:tcBorders>
          </w:tcPr>
          <w:p>
            <w:pPr>
              <w:adjustRightInd w:val="0"/>
              <w:snapToGrid w:val="0"/>
              <w:ind w:left="-88" w:leftChars="-42"/>
              <w:jc w:val="center"/>
              <w:rPr>
                <w:rFonts w:ascii="宋体" w:cs="Times New Roman"/>
                <w:highlight w:val="none"/>
              </w:rPr>
            </w:pPr>
          </w:p>
        </w:tc>
        <w:tc>
          <w:tcPr>
            <w:tcW w:w="1685" w:type="dxa"/>
            <w:tcBorders>
              <w:bottom w:val="double" w:color="auto" w:sz="4" w:space="0"/>
            </w:tcBorders>
            <w:vAlign w:val="center"/>
          </w:tcPr>
          <w:p>
            <w:pPr>
              <w:adjustRightInd w:val="0"/>
              <w:snapToGrid w:val="0"/>
              <w:ind w:left="-88" w:leftChars="-42"/>
              <w:jc w:val="center"/>
              <w:rPr>
                <w:rFonts w:ascii="宋体" w:cs="Times New Roman"/>
                <w:highlight w:val="none"/>
              </w:rPr>
            </w:pPr>
          </w:p>
        </w:tc>
        <w:tc>
          <w:tcPr>
            <w:tcW w:w="1948" w:type="dxa"/>
            <w:tcBorders>
              <w:bottom w:val="double" w:color="auto" w:sz="4" w:space="0"/>
            </w:tcBorders>
            <w:vAlign w:val="center"/>
          </w:tcPr>
          <w:p>
            <w:pPr>
              <w:adjustRightInd w:val="0"/>
              <w:snapToGrid w:val="0"/>
              <w:ind w:left="-88" w:leftChars="-42"/>
              <w:jc w:val="center"/>
              <w:rPr>
                <w:rFonts w:ascii="宋体" w:cs="Times New Roman"/>
                <w:highlight w:val="none"/>
              </w:rPr>
            </w:pPr>
          </w:p>
        </w:tc>
        <w:tc>
          <w:tcPr>
            <w:tcW w:w="4475" w:type="dxa"/>
            <w:gridSpan w:val="3"/>
            <w:tcBorders>
              <w:bottom w:val="double" w:color="auto" w:sz="4" w:space="0"/>
            </w:tcBorders>
            <w:vAlign w:val="center"/>
          </w:tcPr>
          <w:p>
            <w:pPr>
              <w:adjustRightInd w:val="0"/>
              <w:snapToGrid w:val="0"/>
              <w:jc w:val="center"/>
              <w:rPr>
                <w:rFonts w:ascii="宋体" w:cs="Times New Roman"/>
                <w:highlight w:val="none"/>
              </w:rPr>
            </w:pPr>
            <w:r>
              <w:rPr>
                <w:rFonts w:hint="eastAsia" w:ascii="宋体" w:hAnsi="宋体"/>
                <w:b/>
                <w:sz w:val="24"/>
                <w:szCs w:val="24"/>
                <w:highlight w:val="none"/>
              </w:rPr>
              <w:t>供应商保证：除本采购需求/合同条款偏离表列出的偏离外，我单位对采购文件的其他采购需求/合同条款完全响应，无偏离。</w:t>
            </w:r>
          </w:p>
        </w:tc>
      </w:tr>
    </w:tbl>
    <w:p>
      <w:pPr>
        <w:adjustRightInd w:val="0"/>
        <w:snapToGrid w:val="0"/>
        <w:spacing w:line="360" w:lineRule="auto"/>
        <w:rPr>
          <w:rFonts w:ascii="宋体" w:hAnsi="宋体" w:cs="宋体"/>
          <w:highlight w:val="none"/>
        </w:rPr>
      </w:pPr>
      <w:r>
        <w:rPr>
          <w:rFonts w:ascii="仿宋_GB2312" w:hAnsi="宋体" w:eastAsia="Times New Roman" w:cs="仿宋_GB2312"/>
          <w:highlight w:val="none"/>
        </w:rPr>
        <w:t>说明：1、</w:t>
      </w:r>
      <w:r>
        <w:rPr>
          <w:rFonts w:hint="eastAsia" w:ascii="宋体" w:hAnsi="宋体" w:cs="宋体"/>
          <w:highlight w:val="none"/>
        </w:rPr>
        <w:t>本表应列出供应商偏离第三章采购合同格式和第四章采购需求的条款，如未列出偏离项，</w:t>
      </w:r>
      <w:r>
        <w:rPr>
          <w:rFonts w:hint="eastAsia"/>
          <w:highlight w:val="none"/>
        </w:rPr>
        <w:t>本表签字盖章后</w:t>
      </w:r>
      <w:r>
        <w:rPr>
          <w:rFonts w:hint="eastAsia" w:ascii="宋体" w:hAnsi="宋体" w:cs="宋体"/>
          <w:highlight w:val="none"/>
        </w:rPr>
        <w:t>则视为完全响应采购文件要求。如无偏离，则无须填写，签章即视为承诺上表保证事项。</w:t>
      </w:r>
    </w:p>
    <w:p>
      <w:pPr>
        <w:pStyle w:val="12"/>
        <w:adjustRightInd w:val="0"/>
        <w:snapToGrid w:val="0"/>
        <w:spacing w:line="360" w:lineRule="auto"/>
        <w:outlineLvl w:val="0"/>
        <w:rPr>
          <w:rFonts w:ascii="宋体" w:cs="Times New Roman"/>
          <w:sz w:val="21"/>
          <w:szCs w:val="21"/>
          <w:highlight w:val="none"/>
        </w:rPr>
      </w:pPr>
    </w:p>
    <w:p>
      <w:pPr>
        <w:rPr>
          <w:rFonts w:cs="Times New Roman"/>
          <w:highlight w:val="none"/>
        </w:rPr>
      </w:pPr>
    </w:p>
    <w:p>
      <w:pPr>
        <w:rPr>
          <w:rFonts w:cs="Times New Roman"/>
          <w:highlight w:val="none"/>
        </w:rPr>
      </w:pPr>
    </w:p>
    <w:p>
      <w:pPr>
        <w:rPr>
          <w:rFonts w:cs="Times New Roman"/>
          <w:highlight w:val="none"/>
        </w:rPr>
      </w:pPr>
    </w:p>
    <w:p>
      <w:pPr>
        <w:rPr>
          <w:rFonts w:cs="Times New Roman"/>
          <w:highlight w:val="none"/>
        </w:rPr>
      </w:pPr>
    </w:p>
    <w:p>
      <w:pPr>
        <w:rPr>
          <w:rFonts w:cs="Times New Roman"/>
          <w:highlight w:val="none"/>
        </w:rPr>
      </w:pPr>
    </w:p>
    <w:p>
      <w:pPr>
        <w:rPr>
          <w:rFonts w:cs="Times New Roman"/>
          <w:highlight w:val="none"/>
        </w:rPr>
      </w:pPr>
    </w:p>
    <w:p>
      <w:pPr>
        <w:pStyle w:val="12"/>
        <w:adjustRightInd w:val="0"/>
        <w:snapToGrid w:val="0"/>
        <w:spacing w:line="360" w:lineRule="auto"/>
        <w:outlineLvl w:val="0"/>
        <w:rPr>
          <w:rFonts w:ascii="宋体"/>
          <w:bCs/>
          <w:sz w:val="21"/>
          <w:szCs w:val="21"/>
          <w:highlight w:val="none"/>
        </w:rPr>
      </w:pPr>
      <w:r>
        <w:rPr>
          <w:rFonts w:hint="eastAsia" w:ascii="宋体" w:hAnsi="宋体"/>
          <w:sz w:val="21"/>
          <w:szCs w:val="21"/>
          <w:highlight w:val="none"/>
        </w:rPr>
        <w:t>供应商名称：</w:t>
      </w:r>
    </w:p>
    <w:p>
      <w:pPr>
        <w:adjustRightInd w:val="0"/>
        <w:snapToGrid w:val="0"/>
        <w:spacing w:line="360" w:lineRule="auto"/>
        <w:outlineLvl w:val="0"/>
        <w:rPr>
          <w:rFonts w:ascii="宋体"/>
          <w:highlight w:val="none"/>
        </w:rPr>
      </w:pPr>
      <w:r>
        <w:rPr>
          <w:rFonts w:hint="eastAsia" w:ascii="宋体" w:hAnsi="宋体"/>
          <w:highlight w:val="none"/>
        </w:rPr>
        <w:t>负责人或其委托代理人</w:t>
      </w:r>
      <w:r>
        <w:rPr>
          <w:rFonts w:ascii="宋体" w:hAnsi="宋体"/>
          <w:highlight w:val="none"/>
        </w:rPr>
        <w:t>(</w:t>
      </w:r>
      <w:r>
        <w:rPr>
          <w:rFonts w:hint="eastAsia" w:ascii="宋体" w:hAnsi="宋体"/>
          <w:highlight w:val="none"/>
        </w:rPr>
        <w:t>签字</w:t>
      </w:r>
      <w:r>
        <w:rPr>
          <w:rFonts w:ascii="宋体" w:hAnsi="宋体"/>
          <w:highlight w:val="none"/>
        </w:rPr>
        <w:t>)</w:t>
      </w:r>
      <w:r>
        <w:rPr>
          <w:rFonts w:hint="eastAsia" w:ascii="宋体" w:hAnsi="宋体"/>
          <w:highlight w:val="none"/>
        </w:rPr>
        <w:t>：</w:t>
      </w:r>
    </w:p>
    <w:p>
      <w:pPr>
        <w:adjustRightInd w:val="0"/>
        <w:snapToGrid w:val="0"/>
        <w:spacing w:line="360" w:lineRule="auto"/>
        <w:rPr>
          <w:rFonts w:ascii="黑体" w:eastAsia="黑体" w:cs="Times New Roman"/>
          <w:b/>
          <w:bCs/>
          <w:sz w:val="32"/>
          <w:szCs w:val="32"/>
          <w:highlight w:val="none"/>
        </w:rPr>
      </w:pPr>
      <w:r>
        <w:rPr>
          <w:rFonts w:hint="eastAsia" w:ascii="宋体" w:hAnsi="宋体"/>
          <w:highlight w:val="none"/>
        </w:rPr>
        <w:t>日期：</w:t>
      </w:r>
      <w:r>
        <w:rPr>
          <w:rFonts w:ascii="宋体" w:hAnsi="宋体"/>
          <w:highlight w:val="none"/>
        </w:rPr>
        <w:t xml:space="preserve">  </w:t>
      </w:r>
      <w:r>
        <w:rPr>
          <w:rFonts w:hint="eastAsia" w:ascii="宋体" w:hAnsi="宋体"/>
          <w:highlight w:val="none"/>
        </w:rPr>
        <w:t>年</w:t>
      </w:r>
      <w:r>
        <w:rPr>
          <w:rFonts w:ascii="宋体" w:hAnsi="宋体"/>
          <w:highlight w:val="none"/>
        </w:rPr>
        <w:t xml:space="preserve">  </w:t>
      </w:r>
      <w:r>
        <w:rPr>
          <w:rFonts w:hint="eastAsia" w:ascii="宋体" w:hAnsi="宋体"/>
          <w:highlight w:val="none"/>
        </w:rPr>
        <w:t>月</w:t>
      </w:r>
      <w:r>
        <w:rPr>
          <w:rFonts w:ascii="宋体" w:hAnsi="宋体"/>
          <w:highlight w:val="none"/>
        </w:rPr>
        <w:t xml:space="preserve">  </w:t>
      </w:r>
      <w:r>
        <w:rPr>
          <w:rFonts w:hint="eastAsia" w:ascii="宋体" w:hAnsi="宋体"/>
          <w:highlight w:val="none"/>
        </w:rPr>
        <w:t>日</w:t>
      </w:r>
    </w:p>
    <w:p>
      <w:pPr>
        <w:tabs>
          <w:tab w:val="left" w:pos="3600"/>
        </w:tabs>
        <w:adjustRightInd w:val="0"/>
        <w:snapToGrid w:val="0"/>
        <w:jc w:val="center"/>
        <w:rPr>
          <w:rFonts w:ascii="黑体" w:eastAsia="黑体" w:cs="Times New Roman"/>
          <w:b/>
          <w:bCs/>
          <w:sz w:val="30"/>
          <w:szCs w:val="30"/>
          <w:highlight w:val="none"/>
        </w:rPr>
      </w:pPr>
    </w:p>
    <w:p>
      <w:pPr>
        <w:tabs>
          <w:tab w:val="left" w:pos="3600"/>
        </w:tabs>
        <w:adjustRightInd w:val="0"/>
        <w:snapToGrid w:val="0"/>
        <w:jc w:val="center"/>
        <w:rPr>
          <w:rFonts w:ascii="黑体" w:hAnsi="宋体" w:eastAsia="黑体" w:cs="Times New Roman"/>
          <w:b/>
          <w:bCs/>
          <w:sz w:val="30"/>
          <w:szCs w:val="30"/>
          <w:highlight w:val="none"/>
        </w:rPr>
      </w:pPr>
      <w:r>
        <w:rPr>
          <w:rFonts w:ascii="黑体" w:eastAsia="黑体" w:cs="Times New Roman"/>
          <w:b/>
          <w:bCs/>
          <w:sz w:val="30"/>
          <w:szCs w:val="30"/>
          <w:highlight w:val="none"/>
        </w:rPr>
        <w:br w:type="page"/>
      </w:r>
      <w:r>
        <w:rPr>
          <w:rFonts w:hint="eastAsia" w:ascii="黑体" w:eastAsia="黑体" w:cs="黑体"/>
          <w:b/>
          <w:bCs/>
          <w:sz w:val="30"/>
          <w:szCs w:val="30"/>
          <w:highlight w:val="none"/>
        </w:rPr>
        <w:t>七、</w:t>
      </w:r>
      <w:r>
        <w:rPr>
          <w:rFonts w:hint="eastAsia" w:ascii="黑体" w:hAnsi="宋体" w:eastAsia="黑体" w:cs="黑体"/>
          <w:b/>
          <w:bCs/>
          <w:sz w:val="30"/>
          <w:szCs w:val="30"/>
          <w:highlight w:val="none"/>
        </w:rPr>
        <w:t>提供享受政府采购政策的证明材料和清单表</w:t>
      </w:r>
    </w:p>
    <w:p>
      <w:pPr>
        <w:tabs>
          <w:tab w:val="left" w:pos="3600"/>
        </w:tabs>
        <w:adjustRightInd w:val="0"/>
        <w:snapToGrid w:val="0"/>
        <w:jc w:val="center"/>
        <w:rPr>
          <w:rFonts w:ascii="黑体" w:hAnsi="宋体" w:eastAsia="黑体" w:cs="Times New Roman"/>
          <w:b/>
          <w:bCs/>
          <w:sz w:val="32"/>
          <w:szCs w:val="32"/>
          <w:highlight w:val="none"/>
        </w:rPr>
      </w:pPr>
      <w:r>
        <w:rPr>
          <w:rFonts w:hint="eastAsia" w:ascii="黑体" w:hAnsi="宋体" w:eastAsia="黑体" w:cs="Times New Roman"/>
          <w:b/>
          <w:bCs/>
          <w:sz w:val="32"/>
          <w:szCs w:val="32"/>
          <w:highlight w:val="none"/>
        </w:rPr>
        <w:t>（本项目不适用）</w:t>
      </w:r>
    </w:p>
    <w:p>
      <w:pPr>
        <w:tabs>
          <w:tab w:val="left" w:pos="3600"/>
        </w:tabs>
        <w:adjustRightInd w:val="0"/>
        <w:snapToGrid w:val="0"/>
        <w:jc w:val="center"/>
        <w:rPr>
          <w:rFonts w:ascii="黑体" w:hAnsi="宋体" w:eastAsia="黑体" w:cs="Times New Roman"/>
          <w:b/>
          <w:bCs/>
          <w:sz w:val="32"/>
          <w:szCs w:val="32"/>
          <w:highlight w:val="none"/>
        </w:rPr>
      </w:pPr>
      <w:r>
        <w:rPr>
          <w:rFonts w:ascii="黑体" w:hAnsi="宋体" w:eastAsia="黑体" w:cs="黑体"/>
          <w:sz w:val="30"/>
          <w:szCs w:val="30"/>
          <w:highlight w:val="none"/>
        </w:rPr>
        <w:br w:type="page"/>
      </w:r>
      <w:r>
        <w:rPr>
          <w:rFonts w:hint="eastAsia" w:ascii="黑体" w:hAnsi="宋体" w:eastAsia="黑体" w:cs="黑体"/>
          <w:b/>
          <w:bCs/>
          <w:sz w:val="32"/>
          <w:szCs w:val="32"/>
          <w:highlight w:val="none"/>
        </w:rPr>
        <w:t>八、经销、或代理货物、或为货物提供售后服务的证明材料</w:t>
      </w:r>
    </w:p>
    <w:p>
      <w:pPr>
        <w:tabs>
          <w:tab w:val="left" w:pos="3600"/>
        </w:tabs>
        <w:adjustRightInd w:val="0"/>
        <w:snapToGrid w:val="0"/>
        <w:jc w:val="center"/>
        <w:rPr>
          <w:rFonts w:ascii="黑体" w:hAnsi="宋体" w:eastAsia="黑体" w:cs="Times New Roman"/>
          <w:b/>
          <w:bCs/>
          <w:sz w:val="30"/>
          <w:szCs w:val="30"/>
          <w:highlight w:val="none"/>
        </w:rPr>
      </w:pPr>
      <w:r>
        <w:rPr>
          <w:rFonts w:hint="eastAsia" w:ascii="黑体" w:hAnsi="宋体" w:eastAsia="黑体" w:cs="黑体"/>
          <w:b/>
          <w:bCs/>
          <w:sz w:val="32"/>
          <w:szCs w:val="32"/>
          <w:highlight w:val="none"/>
        </w:rPr>
        <w:t>（本项目不需要提供）</w:t>
      </w:r>
    </w:p>
    <w:p>
      <w:pPr>
        <w:adjustRightInd w:val="0"/>
        <w:snapToGrid w:val="0"/>
        <w:spacing w:line="360" w:lineRule="auto"/>
        <w:jc w:val="center"/>
        <w:rPr>
          <w:rFonts w:ascii="黑体" w:hAnsi="宋体" w:eastAsia="黑体" w:cs="Times New Roman"/>
          <w:b/>
          <w:bCs/>
          <w:sz w:val="32"/>
          <w:szCs w:val="32"/>
          <w:highlight w:val="none"/>
        </w:rPr>
      </w:pPr>
    </w:p>
    <w:p>
      <w:pPr>
        <w:adjustRightInd w:val="0"/>
        <w:snapToGrid w:val="0"/>
        <w:spacing w:line="360" w:lineRule="auto"/>
        <w:rPr>
          <w:rFonts w:ascii="仿宋_GB2312" w:hAnsi="宋体" w:eastAsia="Times New Roman" w:cs="Times New Roman"/>
          <w:highlight w:val="none"/>
        </w:rPr>
      </w:pPr>
    </w:p>
    <w:p>
      <w:pPr>
        <w:ind w:firstLine="210" w:firstLineChars="100"/>
        <w:rPr>
          <w:rFonts w:ascii="仿宋_GB2312" w:hAnsi="宋体" w:eastAsia="Times New Roman" w:cs="Times New Roman"/>
          <w:highlight w:val="none"/>
        </w:rPr>
      </w:pPr>
      <w:r>
        <w:rPr>
          <w:rFonts w:ascii="仿宋_GB2312" w:hAnsi="宋体" w:eastAsia="Times New Roman" w:cs="仿宋_GB2312"/>
          <w:highlight w:val="none"/>
        </w:rPr>
        <w:t>提供协议或授权函复印件或售后服务证明原件。</w:t>
      </w:r>
    </w:p>
    <w:p>
      <w:pPr>
        <w:ind w:firstLine="803"/>
        <w:jc w:val="center"/>
        <w:rPr>
          <w:rFonts w:ascii="仿宋_GB2312" w:hAnsi="宋体" w:eastAsia="Times New Roman" w:cs="Times New Roman"/>
          <w:highlight w:val="none"/>
        </w:rPr>
      </w:pPr>
    </w:p>
    <w:p>
      <w:pPr>
        <w:ind w:firstLine="803"/>
        <w:jc w:val="center"/>
        <w:rPr>
          <w:rFonts w:ascii="仿宋_GB2312" w:hAnsi="宋体" w:eastAsia="Times New Roman" w:cs="Times New Roman"/>
          <w:highlight w:val="none"/>
        </w:rPr>
      </w:pPr>
    </w:p>
    <w:p>
      <w:pPr>
        <w:ind w:firstLine="803"/>
        <w:jc w:val="center"/>
        <w:rPr>
          <w:rFonts w:ascii="仿宋_GB2312" w:hAnsi="宋体" w:eastAsia="Times New Roman" w:cs="Times New Roman"/>
          <w:highlight w:val="none"/>
        </w:rPr>
      </w:pPr>
    </w:p>
    <w:p>
      <w:pPr>
        <w:tabs>
          <w:tab w:val="left" w:pos="3600"/>
        </w:tabs>
        <w:adjustRightInd w:val="0"/>
        <w:snapToGrid w:val="0"/>
        <w:jc w:val="center"/>
        <w:rPr>
          <w:rFonts w:ascii="黑体" w:eastAsia="黑体" w:cs="Times New Roman"/>
          <w:b/>
          <w:bCs/>
          <w:sz w:val="32"/>
          <w:szCs w:val="32"/>
          <w:highlight w:val="none"/>
        </w:rPr>
      </w:pPr>
    </w:p>
    <w:p>
      <w:pPr>
        <w:tabs>
          <w:tab w:val="left" w:pos="3600"/>
        </w:tabs>
        <w:adjustRightInd w:val="0"/>
        <w:snapToGrid w:val="0"/>
        <w:jc w:val="center"/>
        <w:rPr>
          <w:rFonts w:ascii="黑体" w:hAnsi="宋体" w:eastAsia="黑体" w:cs="Times New Roman"/>
          <w:b/>
          <w:bCs/>
          <w:sz w:val="30"/>
          <w:szCs w:val="30"/>
          <w:highlight w:val="none"/>
        </w:rPr>
      </w:pPr>
      <w:r>
        <w:rPr>
          <w:rFonts w:ascii="黑体" w:eastAsia="黑体" w:cs="Times New Roman"/>
          <w:b/>
          <w:bCs/>
          <w:sz w:val="32"/>
          <w:szCs w:val="32"/>
          <w:highlight w:val="none"/>
        </w:rPr>
        <w:br w:type="page"/>
      </w:r>
      <w:r>
        <w:rPr>
          <w:rFonts w:hint="eastAsia" w:ascii="黑体" w:eastAsia="黑体" w:cs="黑体"/>
          <w:b/>
          <w:bCs/>
          <w:sz w:val="32"/>
          <w:szCs w:val="32"/>
          <w:highlight w:val="none"/>
        </w:rPr>
        <w:t>九、</w:t>
      </w:r>
      <w:r>
        <w:rPr>
          <w:rFonts w:hint="eastAsia" w:ascii="黑体" w:hAnsi="宋体" w:eastAsia="黑体" w:cs="黑体"/>
          <w:b/>
          <w:bCs/>
          <w:sz w:val="32"/>
          <w:szCs w:val="32"/>
          <w:highlight w:val="none"/>
        </w:rPr>
        <w:t>报价一览表及报价文件</w:t>
      </w:r>
    </w:p>
    <w:p>
      <w:pPr>
        <w:adjustRightInd w:val="0"/>
        <w:snapToGrid w:val="0"/>
        <w:rPr>
          <w:rFonts w:ascii="黑体" w:hAnsi="宋体" w:eastAsia="黑体" w:cs="黑体"/>
          <w:sz w:val="30"/>
          <w:szCs w:val="30"/>
          <w:highlight w:val="none"/>
        </w:rPr>
      </w:pPr>
      <w:r>
        <w:rPr>
          <w:rFonts w:hint="eastAsia" w:ascii="黑体" w:hAnsi="宋体" w:eastAsia="黑体" w:cs="黑体"/>
          <w:sz w:val="30"/>
          <w:szCs w:val="30"/>
          <w:highlight w:val="none"/>
        </w:rPr>
        <w:t>附件</w:t>
      </w:r>
      <w:r>
        <w:rPr>
          <w:rFonts w:ascii="黑体" w:hAnsi="宋体" w:eastAsia="黑体" w:cs="黑体"/>
          <w:sz w:val="30"/>
          <w:szCs w:val="30"/>
          <w:highlight w:val="none"/>
        </w:rPr>
        <w:t>8-1</w:t>
      </w:r>
    </w:p>
    <w:p>
      <w:pPr>
        <w:spacing w:line="360" w:lineRule="exact"/>
        <w:ind w:firstLine="300" w:firstLineChars="100"/>
        <w:rPr>
          <w:rFonts w:ascii="楷体_GB2312" w:eastAsia="楷体_GB2312" w:cs="Times New Roman"/>
          <w:sz w:val="30"/>
          <w:szCs w:val="30"/>
          <w:highlight w:val="none"/>
        </w:rPr>
      </w:pPr>
    </w:p>
    <w:p>
      <w:pPr>
        <w:adjustRightInd w:val="0"/>
        <w:snapToGrid w:val="0"/>
        <w:jc w:val="center"/>
        <w:rPr>
          <w:rFonts w:ascii="黑体" w:hAnsi="宋体" w:eastAsia="黑体" w:cs="Times New Roman"/>
          <w:sz w:val="24"/>
          <w:szCs w:val="24"/>
          <w:highlight w:val="none"/>
        </w:rPr>
      </w:pPr>
      <w:r>
        <w:rPr>
          <w:rFonts w:hint="eastAsia" w:ascii="黑体" w:hAnsi="宋体" w:eastAsia="黑体" w:cs="黑体"/>
          <w:sz w:val="30"/>
          <w:szCs w:val="30"/>
          <w:highlight w:val="none"/>
        </w:rPr>
        <w:t>报价一览表</w:t>
      </w:r>
    </w:p>
    <w:tbl>
      <w:tblPr>
        <w:tblStyle w:val="19"/>
        <w:tblW w:w="0" w:type="auto"/>
        <w:tblInd w:w="108"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620"/>
        <w:gridCol w:w="3060"/>
        <w:gridCol w:w="1620"/>
        <w:gridCol w:w="252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1620" w:type="dxa"/>
            <w:vMerge w:val="restart"/>
            <w:tcBorders>
              <w:top w:val="double" w:color="auto" w:sz="4" w:space="0"/>
              <w:left w:val="double" w:color="auto" w:sz="4" w:space="0"/>
              <w:right w:val="single" w:color="auto" w:sz="6" w:space="0"/>
            </w:tcBorders>
            <w:vAlign w:val="center"/>
          </w:tcPr>
          <w:p>
            <w:pPr>
              <w:tabs>
                <w:tab w:val="left" w:pos="403"/>
                <w:tab w:val="center" w:pos="3781"/>
              </w:tabs>
              <w:spacing w:line="420" w:lineRule="exact"/>
              <w:ind w:right="-5206" w:rightChars="-2479" w:firstLine="210" w:firstLineChars="100"/>
              <w:rPr>
                <w:rFonts w:ascii="宋体" w:hAnsi="宋体" w:cs="宋体"/>
                <w:highlight w:val="none"/>
              </w:rPr>
            </w:pPr>
            <w:r>
              <w:rPr>
                <w:rFonts w:hint="eastAsia" w:ascii="宋体" w:hAnsi="宋体" w:cs="宋体"/>
                <w:highlight w:val="none"/>
              </w:rPr>
              <w:t>项目名称</w:t>
            </w:r>
            <w:r>
              <w:rPr>
                <w:rFonts w:hint="eastAsia" w:ascii="宋体" w:hAnsi="宋体" w:cs="宋体"/>
                <w:highlight w:val="none"/>
              </w:rPr>
              <w:tab/>
            </w:r>
            <w:r>
              <w:rPr>
                <w:rFonts w:hint="eastAsia" w:ascii="宋体" w:hAnsi="宋体" w:cs="宋体"/>
                <w:highlight w:val="none"/>
              </w:rPr>
              <w:t>项目名称</w:t>
            </w:r>
          </w:p>
        </w:tc>
        <w:tc>
          <w:tcPr>
            <w:tcW w:w="3060" w:type="dxa"/>
            <w:vMerge w:val="restart"/>
            <w:tcBorders>
              <w:top w:val="double" w:color="auto" w:sz="4" w:space="0"/>
              <w:left w:val="single" w:color="auto" w:sz="6" w:space="0"/>
              <w:right w:val="single" w:color="auto" w:sz="6" w:space="0"/>
            </w:tcBorders>
            <w:vAlign w:val="center"/>
          </w:tcPr>
          <w:p>
            <w:pPr>
              <w:spacing w:line="420" w:lineRule="exact"/>
              <w:jc w:val="center"/>
              <w:rPr>
                <w:rFonts w:ascii="宋体" w:hAnsi="宋体" w:cs="宋体"/>
                <w:highlight w:val="none"/>
              </w:rPr>
            </w:pPr>
          </w:p>
        </w:tc>
        <w:tc>
          <w:tcPr>
            <w:tcW w:w="1620" w:type="dxa"/>
            <w:tcBorders>
              <w:top w:val="double" w:color="auto" w:sz="4" w:space="0"/>
              <w:left w:val="single" w:color="auto" w:sz="6" w:space="0"/>
              <w:bottom w:val="single" w:color="auto" w:sz="6" w:space="0"/>
              <w:right w:val="single" w:color="auto" w:sz="6" w:space="0"/>
            </w:tcBorders>
            <w:vAlign w:val="center"/>
          </w:tcPr>
          <w:p>
            <w:pPr>
              <w:spacing w:line="420" w:lineRule="exact"/>
              <w:jc w:val="center"/>
              <w:rPr>
                <w:rFonts w:ascii="宋体" w:hAnsi="宋体" w:cs="宋体"/>
                <w:highlight w:val="none"/>
              </w:rPr>
            </w:pPr>
            <w:r>
              <w:rPr>
                <w:rFonts w:hint="eastAsia" w:ascii="宋体" w:hAnsi="宋体" w:cs="宋体"/>
                <w:highlight w:val="none"/>
              </w:rPr>
              <w:t>政府采购编号</w:t>
            </w:r>
          </w:p>
        </w:tc>
        <w:tc>
          <w:tcPr>
            <w:tcW w:w="2520" w:type="dxa"/>
            <w:tcBorders>
              <w:top w:val="double" w:color="auto" w:sz="4" w:space="0"/>
              <w:left w:val="single" w:color="auto" w:sz="6" w:space="0"/>
              <w:bottom w:val="single" w:color="auto" w:sz="6" w:space="0"/>
              <w:right w:val="double" w:color="auto" w:sz="4" w:space="0"/>
            </w:tcBorders>
            <w:vAlign w:val="center"/>
          </w:tcPr>
          <w:p>
            <w:pPr>
              <w:spacing w:line="420" w:lineRule="exact"/>
              <w:jc w:val="center"/>
              <w:rPr>
                <w:rFonts w:ascii="宋体" w:hAnsi="宋体" w:cs="宋体"/>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1620" w:type="dxa"/>
            <w:vMerge w:val="continue"/>
            <w:tcBorders>
              <w:left w:val="double" w:color="auto" w:sz="4" w:space="0"/>
              <w:bottom w:val="single" w:color="auto" w:sz="6" w:space="0"/>
              <w:right w:val="single" w:color="auto" w:sz="6" w:space="0"/>
            </w:tcBorders>
            <w:vAlign w:val="center"/>
          </w:tcPr>
          <w:p>
            <w:pPr>
              <w:jc w:val="center"/>
              <w:rPr>
                <w:rFonts w:ascii="宋体" w:hAnsi="宋体" w:cs="宋体"/>
                <w:highlight w:val="none"/>
              </w:rPr>
            </w:pPr>
          </w:p>
        </w:tc>
        <w:tc>
          <w:tcPr>
            <w:tcW w:w="3060" w:type="dxa"/>
            <w:vMerge w:val="continue"/>
            <w:tcBorders>
              <w:left w:val="single" w:color="auto" w:sz="6" w:space="0"/>
              <w:bottom w:val="single" w:color="auto" w:sz="6" w:space="0"/>
              <w:right w:val="single" w:color="auto" w:sz="6" w:space="0"/>
            </w:tcBorders>
            <w:vAlign w:val="center"/>
          </w:tcPr>
          <w:p>
            <w:pPr>
              <w:spacing w:line="420" w:lineRule="exact"/>
              <w:jc w:val="center"/>
              <w:rPr>
                <w:rFonts w:ascii="宋体" w:hAnsi="宋体" w:cs="宋体"/>
                <w:highlight w:val="none"/>
              </w:rPr>
            </w:pPr>
          </w:p>
        </w:tc>
        <w:tc>
          <w:tcPr>
            <w:tcW w:w="1620" w:type="dxa"/>
            <w:tcBorders>
              <w:top w:val="single" w:color="auto" w:sz="6" w:space="0"/>
              <w:left w:val="single" w:color="auto" w:sz="6" w:space="0"/>
              <w:bottom w:val="single" w:color="auto" w:sz="6" w:space="0"/>
              <w:right w:val="single" w:color="auto" w:sz="6" w:space="0"/>
            </w:tcBorders>
            <w:vAlign w:val="center"/>
          </w:tcPr>
          <w:p>
            <w:pPr>
              <w:spacing w:line="420" w:lineRule="exact"/>
              <w:jc w:val="center"/>
              <w:rPr>
                <w:rFonts w:ascii="宋体" w:hAnsi="宋体" w:cs="宋体"/>
                <w:highlight w:val="none"/>
              </w:rPr>
            </w:pPr>
            <w:r>
              <w:rPr>
                <w:rFonts w:hint="eastAsia" w:ascii="宋体" w:hAnsi="宋体" w:cs="宋体"/>
                <w:highlight w:val="none"/>
              </w:rPr>
              <w:t>委托代理编号</w:t>
            </w:r>
          </w:p>
        </w:tc>
        <w:tc>
          <w:tcPr>
            <w:tcW w:w="2520" w:type="dxa"/>
            <w:tcBorders>
              <w:top w:val="single" w:color="auto" w:sz="6" w:space="0"/>
              <w:left w:val="single" w:color="auto" w:sz="6" w:space="0"/>
              <w:bottom w:val="single" w:color="auto" w:sz="6" w:space="0"/>
              <w:right w:val="double" w:color="auto" w:sz="4" w:space="0"/>
            </w:tcBorders>
            <w:vAlign w:val="center"/>
          </w:tcPr>
          <w:p>
            <w:pPr>
              <w:spacing w:line="420" w:lineRule="exact"/>
              <w:jc w:val="center"/>
              <w:rPr>
                <w:rFonts w:ascii="宋体" w:hAnsi="宋体" w:cs="宋体"/>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1620" w:type="dxa"/>
            <w:tcBorders>
              <w:top w:val="single" w:color="auto" w:sz="6" w:space="0"/>
              <w:left w:val="double" w:color="auto" w:sz="4" w:space="0"/>
              <w:right w:val="single" w:color="auto" w:sz="6" w:space="0"/>
            </w:tcBorders>
            <w:vAlign w:val="center"/>
          </w:tcPr>
          <w:p>
            <w:pPr>
              <w:spacing w:line="420" w:lineRule="exact"/>
              <w:jc w:val="center"/>
              <w:rPr>
                <w:rFonts w:ascii="宋体" w:hAnsi="宋体" w:cs="宋体"/>
                <w:highlight w:val="none"/>
              </w:rPr>
            </w:pPr>
            <w:r>
              <w:rPr>
                <w:rFonts w:hint="eastAsia" w:ascii="宋体" w:hAnsi="宋体" w:cs="宋体"/>
                <w:highlight w:val="none"/>
              </w:rPr>
              <w:t>服务内容</w:t>
            </w:r>
          </w:p>
        </w:tc>
        <w:tc>
          <w:tcPr>
            <w:tcW w:w="7200" w:type="dxa"/>
            <w:gridSpan w:val="3"/>
            <w:tcBorders>
              <w:top w:val="single" w:color="auto" w:sz="6" w:space="0"/>
              <w:left w:val="single" w:color="auto" w:sz="6" w:space="0"/>
              <w:bottom w:val="single" w:color="auto" w:sz="6" w:space="0"/>
              <w:right w:val="double" w:color="auto" w:sz="4" w:space="0"/>
            </w:tcBorders>
            <w:vAlign w:val="center"/>
          </w:tcPr>
          <w:p>
            <w:pPr>
              <w:rPr>
                <w:rFonts w:ascii="宋体" w:hAnsi="宋体" w:cs="宋体"/>
                <w:highlight w:val="none"/>
              </w:rPr>
            </w:pPr>
            <w:r>
              <w:rPr>
                <w:rFonts w:hint="eastAsia" w:ascii="宋体" w:hAnsi="宋体" w:cs="宋体"/>
                <w:highlight w:val="none"/>
              </w:rPr>
              <w:t>法律服务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86" w:hRule="atLeast"/>
        </w:trPr>
        <w:tc>
          <w:tcPr>
            <w:tcW w:w="1620" w:type="dxa"/>
            <w:tcBorders>
              <w:top w:val="single" w:color="auto" w:sz="6" w:space="0"/>
              <w:left w:val="double" w:color="auto" w:sz="4" w:space="0"/>
              <w:right w:val="single" w:color="auto" w:sz="6" w:space="0"/>
            </w:tcBorders>
            <w:vAlign w:val="center"/>
          </w:tcPr>
          <w:p>
            <w:pPr>
              <w:spacing w:line="420" w:lineRule="exact"/>
              <w:jc w:val="center"/>
              <w:rPr>
                <w:rFonts w:ascii="宋体" w:hAnsi="宋体" w:cs="宋体"/>
                <w:highlight w:val="none"/>
              </w:rPr>
            </w:pPr>
            <w:r>
              <w:rPr>
                <w:rFonts w:hint="eastAsia" w:ascii="宋体" w:hAnsi="宋体" w:cs="宋体"/>
                <w:highlight w:val="none"/>
              </w:rPr>
              <w:t>报价</w:t>
            </w:r>
          </w:p>
        </w:tc>
        <w:tc>
          <w:tcPr>
            <w:tcW w:w="7200" w:type="dxa"/>
            <w:gridSpan w:val="3"/>
            <w:tcBorders>
              <w:top w:val="single" w:color="auto" w:sz="6" w:space="0"/>
              <w:left w:val="single" w:color="auto" w:sz="6" w:space="0"/>
              <w:bottom w:val="single" w:color="auto" w:sz="6" w:space="0"/>
              <w:right w:val="double" w:color="auto" w:sz="4" w:space="0"/>
            </w:tcBorders>
            <w:vAlign w:val="center"/>
          </w:tcPr>
          <w:p>
            <w:pPr>
              <w:rPr>
                <w:rFonts w:ascii="宋体" w:hAnsi="宋体" w:cs="宋体"/>
                <w:highlight w:val="none"/>
              </w:rPr>
            </w:pPr>
            <w:r>
              <w:rPr>
                <w:rFonts w:hint="eastAsia" w:ascii="宋体" w:hAnsi="宋体" w:cs="宋体"/>
                <w:highlight w:val="none"/>
              </w:rPr>
              <w:t>大写：</w:t>
            </w:r>
            <w:r>
              <w:rPr>
                <w:rFonts w:hint="eastAsia" w:ascii="宋体" w:hAnsi="宋体" w:cs="宋体"/>
                <w:highlight w:val="none"/>
                <w:u w:val="single"/>
              </w:rPr>
              <w:t xml:space="preserve">                    </w:t>
            </w:r>
            <w:r>
              <w:rPr>
                <w:rFonts w:hint="eastAsia" w:ascii="宋体" w:hAnsi="宋体" w:cs="宋体"/>
                <w:highlight w:val="none"/>
              </w:rPr>
              <w:t>元人民币整</w:t>
            </w:r>
          </w:p>
          <w:p>
            <w:pPr>
              <w:spacing w:line="420" w:lineRule="exact"/>
              <w:rPr>
                <w:rFonts w:ascii="宋体" w:hAnsi="宋体" w:cs="宋体"/>
                <w:highlight w:val="none"/>
              </w:rPr>
            </w:pPr>
            <w:r>
              <w:rPr>
                <w:rFonts w:hint="eastAsia" w:ascii="宋体" w:hAnsi="宋体" w:cs="宋体"/>
                <w:highlight w:val="none"/>
              </w:rPr>
              <w:t>小写：</w:t>
            </w:r>
            <w:r>
              <w:rPr>
                <w:rFonts w:hint="eastAsia" w:ascii="宋体" w:hAnsi="宋体" w:cs="宋体"/>
                <w:highlight w:val="none"/>
                <w:u w:val="single"/>
              </w:rPr>
              <w:t xml:space="preserve">                    </w:t>
            </w:r>
            <w:r>
              <w:rPr>
                <w:rFonts w:hint="eastAsia" w:ascii="宋体" w:hAnsi="宋体" w:cs="宋体"/>
                <w:highlight w:val="none"/>
              </w:rPr>
              <w:t>元人民币整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1620" w:type="dxa"/>
            <w:tcBorders>
              <w:top w:val="single" w:color="auto" w:sz="6" w:space="0"/>
              <w:left w:val="double" w:color="auto" w:sz="4" w:space="0"/>
              <w:bottom w:val="single" w:color="auto" w:sz="6" w:space="0"/>
              <w:right w:val="single" w:color="auto" w:sz="6" w:space="0"/>
            </w:tcBorders>
            <w:vAlign w:val="center"/>
          </w:tcPr>
          <w:p>
            <w:pPr>
              <w:spacing w:line="420" w:lineRule="exact"/>
              <w:jc w:val="center"/>
              <w:rPr>
                <w:rFonts w:ascii="宋体" w:hAnsi="宋体" w:cs="宋体"/>
                <w:highlight w:val="none"/>
              </w:rPr>
            </w:pPr>
            <w:r>
              <w:rPr>
                <w:rFonts w:hint="eastAsia" w:ascii="宋体" w:hAnsi="宋体" w:cs="宋体"/>
                <w:highlight w:val="none"/>
              </w:rPr>
              <w:t>合同周期</w:t>
            </w:r>
          </w:p>
        </w:tc>
        <w:tc>
          <w:tcPr>
            <w:tcW w:w="7200" w:type="dxa"/>
            <w:gridSpan w:val="3"/>
            <w:tcBorders>
              <w:top w:val="single" w:color="auto" w:sz="6" w:space="0"/>
              <w:left w:val="single" w:color="auto" w:sz="6" w:space="0"/>
              <w:bottom w:val="single" w:color="auto" w:sz="6" w:space="0"/>
              <w:right w:val="double" w:color="auto" w:sz="4" w:space="0"/>
            </w:tcBorders>
            <w:vAlign w:val="center"/>
          </w:tcPr>
          <w:p>
            <w:pPr>
              <w:spacing w:line="420" w:lineRule="exact"/>
              <w:rPr>
                <w:rFonts w:ascii="宋体" w:hAnsi="宋体" w:cs="宋体"/>
                <w:iCs/>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7" w:hRule="atLeast"/>
        </w:trPr>
        <w:tc>
          <w:tcPr>
            <w:tcW w:w="1620" w:type="dxa"/>
            <w:tcBorders>
              <w:top w:val="single" w:color="auto" w:sz="6" w:space="0"/>
              <w:left w:val="double" w:color="auto" w:sz="4" w:space="0"/>
              <w:bottom w:val="single" w:color="auto" w:sz="6" w:space="0"/>
              <w:right w:val="single" w:color="auto" w:sz="6" w:space="0"/>
            </w:tcBorders>
            <w:vAlign w:val="center"/>
          </w:tcPr>
          <w:p>
            <w:pPr>
              <w:spacing w:line="420" w:lineRule="exact"/>
              <w:jc w:val="center"/>
              <w:rPr>
                <w:rFonts w:ascii="宋体" w:hAnsi="宋体" w:cs="宋体"/>
                <w:highlight w:val="none"/>
              </w:rPr>
            </w:pPr>
            <w:r>
              <w:rPr>
                <w:rFonts w:hint="eastAsia" w:ascii="宋体" w:hAnsi="宋体" w:cs="宋体"/>
                <w:highlight w:val="none"/>
              </w:rPr>
              <w:t>项目负责人</w:t>
            </w:r>
          </w:p>
        </w:tc>
        <w:tc>
          <w:tcPr>
            <w:tcW w:w="7200" w:type="dxa"/>
            <w:gridSpan w:val="3"/>
            <w:tcBorders>
              <w:top w:val="single" w:color="auto" w:sz="6" w:space="0"/>
              <w:left w:val="single" w:color="auto" w:sz="6" w:space="0"/>
              <w:bottom w:val="single" w:color="auto" w:sz="6" w:space="0"/>
              <w:right w:val="double" w:color="auto" w:sz="4" w:space="0"/>
            </w:tcBorders>
            <w:vAlign w:val="center"/>
          </w:tcPr>
          <w:p>
            <w:pPr>
              <w:spacing w:line="420" w:lineRule="exact"/>
              <w:ind w:firstLine="210" w:firstLineChars="100"/>
              <w:rPr>
                <w:rFonts w:ascii="宋体" w:hAnsi="宋体" w:cs="宋体"/>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1620" w:type="dxa"/>
            <w:tcBorders>
              <w:top w:val="single" w:color="auto" w:sz="6" w:space="0"/>
              <w:left w:val="double" w:color="auto" w:sz="4" w:space="0"/>
              <w:bottom w:val="double" w:color="auto" w:sz="4" w:space="0"/>
              <w:right w:val="single" w:color="auto" w:sz="6" w:space="0"/>
            </w:tcBorders>
            <w:vAlign w:val="center"/>
          </w:tcPr>
          <w:p>
            <w:pPr>
              <w:spacing w:line="420" w:lineRule="exact"/>
              <w:jc w:val="center"/>
              <w:rPr>
                <w:rFonts w:ascii="宋体" w:hAnsi="宋体" w:cs="宋体"/>
                <w:highlight w:val="none"/>
              </w:rPr>
            </w:pPr>
            <w:r>
              <w:rPr>
                <w:rFonts w:hint="eastAsia" w:ascii="宋体" w:hAnsi="宋体" w:cs="宋体"/>
                <w:highlight w:val="none"/>
              </w:rPr>
              <w:t>备  注</w:t>
            </w:r>
          </w:p>
        </w:tc>
        <w:tc>
          <w:tcPr>
            <w:tcW w:w="7200" w:type="dxa"/>
            <w:gridSpan w:val="3"/>
            <w:tcBorders>
              <w:top w:val="single" w:color="auto" w:sz="6" w:space="0"/>
              <w:left w:val="single" w:color="auto" w:sz="6" w:space="0"/>
              <w:bottom w:val="double" w:color="auto" w:sz="4" w:space="0"/>
              <w:right w:val="double" w:color="auto" w:sz="4" w:space="0"/>
            </w:tcBorders>
            <w:vAlign w:val="center"/>
          </w:tcPr>
          <w:p>
            <w:pPr>
              <w:spacing w:line="420" w:lineRule="exact"/>
              <w:rPr>
                <w:rFonts w:ascii="宋体" w:hAnsi="宋体" w:cs="宋体"/>
                <w:highlight w:val="none"/>
              </w:rPr>
            </w:pPr>
          </w:p>
        </w:tc>
      </w:tr>
    </w:tbl>
    <w:p>
      <w:pPr>
        <w:adjustRightInd w:val="0"/>
        <w:snapToGrid w:val="0"/>
        <w:spacing w:line="360" w:lineRule="auto"/>
        <w:ind w:left="-88" w:leftChars="-42"/>
        <w:rPr>
          <w:rFonts w:ascii="宋体" w:cs="Times New Roman"/>
          <w:highlight w:val="none"/>
        </w:rPr>
      </w:pPr>
    </w:p>
    <w:p>
      <w:pPr>
        <w:adjustRightInd w:val="0"/>
        <w:snapToGrid w:val="0"/>
        <w:spacing w:line="360" w:lineRule="auto"/>
        <w:rPr>
          <w:rFonts w:ascii="宋体"/>
          <w:highlight w:val="none"/>
        </w:rPr>
      </w:pPr>
      <w:r>
        <w:rPr>
          <w:rFonts w:hint="eastAsia" w:ascii="宋体" w:hAnsi="宋体"/>
          <w:highlight w:val="none"/>
        </w:rPr>
        <w:t>供应商（盖单位章）：</w:t>
      </w:r>
    </w:p>
    <w:p>
      <w:pPr>
        <w:adjustRightInd w:val="0"/>
        <w:snapToGrid w:val="0"/>
        <w:spacing w:line="360" w:lineRule="auto"/>
        <w:rPr>
          <w:rFonts w:ascii="宋体"/>
          <w:highlight w:val="none"/>
        </w:rPr>
      </w:pPr>
      <w:r>
        <w:rPr>
          <w:rFonts w:hint="eastAsia" w:ascii="宋体" w:hAnsi="宋体"/>
          <w:highlight w:val="none"/>
        </w:rPr>
        <w:t>负责人或其委托代理人（签字）：</w:t>
      </w:r>
    </w:p>
    <w:p>
      <w:pPr>
        <w:adjustRightInd w:val="0"/>
        <w:snapToGrid w:val="0"/>
        <w:spacing w:line="360" w:lineRule="auto"/>
        <w:rPr>
          <w:rFonts w:ascii="宋体" w:hAnsi="宋体"/>
          <w:bCs/>
          <w:highlight w:val="none"/>
        </w:rPr>
      </w:pPr>
      <w:r>
        <w:rPr>
          <w:rFonts w:hint="eastAsia" w:ascii="宋体" w:hAnsi="宋体"/>
          <w:highlight w:val="none"/>
        </w:rPr>
        <w:t>日期：</w:t>
      </w:r>
      <w:r>
        <w:rPr>
          <w:rFonts w:ascii="宋体" w:hAnsi="宋体"/>
          <w:highlight w:val="none"/>
        </w:rPr>
        <w:t xml:space="preserve">   </w:t>
      </w:r>
      <w:r>
        <w:rPr>
          <w:rFonts w:hint="eastAsia" w:ascii="宋体" w:hAnsi="宋体"/>
          <w:highlight w:val="none"/>
        </w:rPr>
        <w:t>年</w:t>
      </w:r>
      <w:r>
        <w:rPr>
          <w:rFonts w:ascii="宋体" w:hAnsi="宋体"/>
          <w:highlight w:val="none"/>
        </w:rPr>
        <w:t xml:space="preserve">   </w:t>
      </w:r>
      <w:r>
        <w:rPr>
          <w:rFonts w:hint="eastAsia" w:ascii="宋体" w:hAnsi="宋体"/>
          <w:highlight w:val="none"/>
        </w:rPr>
        <w:t>月</w:t>
      </w:r>
      <w:r>
        <w:rPr>
          <w:rFonts w:ascii="宋体" w:hAnsi="宋体"/>
          <w:highlight w:val="none"/>
        </w:rPr>
        <w:t xml:space="preserve">   </w:t>
      </w:r>
      <w:r>
        <w:rPr>
          <w:rFonts w:hint="eastAsia" w:ascii="宋体" w:hAnsi="宋体"/>
          <w:bCs/>
          <w:highlight w:val="none"/>
        </w:rPr>
        <w:t>日</w:t>
      </w:r>
    </w:p>
    <w:p>
      <w:pPr>
        <w:adjustRightInd w:val="0"/>
        <w:snapToGrid w:val="0"/>
        <w:rPr>
          <w:rFonts w:ascii="黑体" w:hAnsi="宋体" w:eastAsia="黑体" w:cs="Times New Roman"/>
          <w:b/>
          <w:bCs/>
          <w:sz w:val="24"/>
          <w:szCs w:val="24"/>
          <w:highlight w:val="none"/>
        </w:rPr>
      </w:pPr>
    </w:p>
    <w:p>
      <w:pPr>
        <w:pStyle w:val="2"/>
        <w:rPr>
          <w:highlight w:val="none"/>
        </w:rPr>
      </w:pPr>
    </w:p>
    <w:p>
      <w:pPr>
        <w:rPr>
          <w:highlight w:val="none"/>
        </w:rPr>
      </w:pPr>
    </w:p>
    <w:p>
      <w:pPr>
        <w:numPr>
          <w:ilvl w:val="0"/>
          <w:numId w:val="3"/>
        </w:numPr>
        <w:adjustRightInd w:val="0"/>
        <w:snapToGrid w:val="0"/>
        <w:spacing w:line="360" w:lineRule="auto"/>
        <w:ind w:left="-88" w:leftChars="-42"/>
        <w:jc w:val="center"/>
        <w:rPr>
          <w:rFonts w:ascii="黑体" w:eastAsia="黑体" w:cs="Times New Roman"/>
          <w:b/>
          <w:bCs/>
          <w:sz w:val="32"/>
          <w:szCs w:val="32"/>
          <w:highlight w:val="none"/>
        </w:rPr>
      </w:pPr>
      <w:r>
        <w:rPr>
          <w:kern w:val="0"/>
          <w:highlight w:val="none"/>
        </w:rPr>
        <w:br w:type="page"/>
      </w:r>
      <w:r>
        <w:rPr>
          <w:rFonts w:hint="eastAsia" w:ascii="黑体" w:eastAsia="黑体" w:cs="黑体"/>
          <w:b/>
          <w:bCs/>
          <w:sz w:val="32"/>
          <w:szCs w:val="32"/>
          <w:highlight w:val="none"/>
        </w:rPr>
        <w:t>供应商认为需要提供的其它资料</w:t>
      </w:r>
    </w:p>
    <w:p>
      <w:pPr>
        <w:adjustRightInd w:val="0"/>
        <w:snapToGrid w:val="0"/>
        <w:spacing w:line="360" w:lineRule="auto"/>
        <w:ind w:firstLine="420" w:firstLineChars="200"/>
        <w:rPr>
          <w:rFonts w:ascii="宋体" w:cs="Times New Roman"/>
          <w:highlight w:val="none"/>
        </w:rPr>
      </w:pPr>
      <w:r>
        <w:rPr>
          <w:rFonts w:hint="eastAsia" w:ascii="宋体" w:hAnsi="宋体" w:cs="宋体"/>
          <w:highlight w:val="none"/>
        </w:rPr>
        <w:t>说明：提供评分因素中所需要的相关证明材料复印件。</w:t>
      </w:r>
    </w:p>
    <w:p>
      <w:pPr>
        <w:adjustRightInd w:val="0"/>
        <w:snapToGrid w:val="0"/>
        <w:spacing w:before="156" w:beforeLines="50" w:line="360" w:lineRule="auto"/>
        <w:jc w:val="center"/>
        <w:outlineLvl w:val="0"/>
        <w:rPr>
          <w:rFonts w:ascii="黑体" w:hAnsi="宋体" w:eastAsia="黑体" w:cs="Times New Roman"/>
          <w:b/>
          <w:bCs/>
          <w:sz w:val="32"/>
          <w:szCs w:val="32"/>
          <w:highlight w:val="none"/>
        </w:rPr>
      </w:pPr>
    </w:p>
    <w:p>
      <w:pPr>
        <w:adjustRightInd w:val="0"/>
        <w:snapToGrid w:val="0"/>
        <w:spacing w:before="156" w:beforeLines="50" w:line="360" w:lineRule="auto"/>
        <w:jc w:val="center"/>
        <w:outlineLvl w:val="0"/>
        <w:rPr>
          <w:rFonts w:ascii="黑体" w:hAnsi="宋体" w:eastAsia="黑体" w:cs="Times New Roman"/>
          <w:b/>
          <w:bCs/>
          <w:sz w:val="32"/>
          <w:szCs w:val="32"/>
          <w:highlight w:val="none"/>
        </w:rPr>
      </w:pPr>
    </w:p>
    <w:p>
      <w:pPr>
        <w:tabs>
          <w:tab w:val="left" w:pos="5310"/>
        </w:tabs>
        <w:adjustRightInd w:val="0"/>
        <w:snapToGrid w:val="0"/>
        <w:spacing w:before="156" w:beforeLines="50" w:line="360" w:lineRule="auto"/>
        <w:jc w:val="left"/>
        <w:outlineLvl w:val="0"/>
        <w:rPr>
          <w:rFonts w:ascii="黑体" w:hAnsi="宋体" w:eastAsia="黑体" w:cs="Times New Roman"/>
          <w:b/>
          <w:bCs/>
          <w:sz w:val="32"/>
          <w:szCs w:val="32"/>
          <w:highlight w:val="none"/>
        </w:rPr>
      </w:pPr>
      <w:r>
        <w:rPr>
          <w:rFonts w:ascii="黑体" w:hAnsi="宋体" w:eastAsia="黑体" w:cs="Times New Roman"/>
          <w:b/>
          <w:bCs/>
          <w:sz w:val="32"/>
          <w:szCs w:val="32"/>
          <w:highlight w:val="none"/>
        </w:rPr>
        <w:tab/>
      </w:r>
    </w:p>
    <w:p>
      <w:pPr>
        <w:adjustRightInd w:val="0"/>
        <w:snapToGrid w:val="0"/>
        <w:spacing w:before="156" w:beforeLines="50" w:line="360" w:lineRule="auto"/>
        <w:jc w:val="center"/>
        <w:outlineLvl w:val="0"/>
        <w:rPr>
          <w:rFonts w:ascii="黑体" w:hAnsi="宋体" w:eastAsia="黑体" w:cs="Times New Roman"/>
          <w:b/>
          <w:bCs/>
          <w:sz w:val="32"/>
          <w:szCs w:val="32"/>
          <w:highlight w:val="none"/>
        </w:rPr>
      </w:pPr>
    </w:p>
    <w:p>
      <w:pPr>
        <w:adjustRightInd w:val="0"/>
        <w:snapToGrid w:val="0"/>
        <w:spacing w:before="156" w:beforeLines="50" w:line="360" w:lineRule="auto"/>
        <w:jc w:val="center"/>
        <w:outlineLvl w:val="0"/>
        <w:rPr>
          <w:rFonts w:ascii="黑体" w:hAnsi="宋体" w:eastAsia="黑体" w:cs="Times New Roman"/>
          <w:b/>
          <w:bCs/>
          <w:sz w:val="32"/>
          <w:szCs w:val="32"/>
          <w:highlight w:val="none"/>
        </w:rPr>
      </w:pPr>
      <w:r>
        <w:rPr>
          <w:rFonts w:hint="eastAsia" w:ascii="黑体" w:hAnsi="宋体" w:eastAsia="黑体" w:cs="黑体"/>
          <w:b/>
          <w:bCs/>
          <w:sz w:val="32"/>
          <w:szCs w:val="32"/>
          <w:highlight w:val="none"/>
        </w:rPr>
        <w:br w:type="page"/>
      </w:r>
      <w:r>
        <w:rPr>
          <w:rFonts w:hint="eastAsia" w:ascii="黑体" w:hAnsi="宋体" w:eastAsia="黑体" w:cs="黑体"/>
          <w:b/>
          <w:bCs/>
          <w:sz w:val="32"/>
          <w:szCs w:val="32"/>
          <w:highlight w:val="none"/>
        </w:rPr>
        <w:t>十一、最后报价</w:t>
      </w:r>
    </w:p>
    <w:p>
      <w:pPr>
        <w:adjustRightInd w:val="0"/>
        <w:snapToGrid w:val="0"/>
        <w:ind w:left="-88" w:leftChars="-42"/>
        <w:rPr>
          <w:rFonts w:ascii="宋体" w:cs="Times New Roman"/>
          <w:highlight w:val="none"/>
        </w:rPr>
      </w:pPr>
    </w:p>
    <w:p>
      <w:pPr>
        <w:adjustRightInd w:val="0"/>
        <w:snapToGrid w:val="0"/>
        <w:spacing w:line="360" w:lineRule="auto"/>
        <w:rPr>
          <w:rFonts w:ascii="宋体" w:cs="Times New Roman"/>
          <w:highlight w:val="none"/>
        </w:rPr>
      </w:pPr>
      <w:r>
        <w:rPr>
          <w:rFonts w:hint="eastAsia" w:ascii="宋体" w:hAnsi="宋体" w:cs="宋体"/>
          <w:highlight w:val="none"/>
        </w:rPr>
        <w:t>说明：</w:t>
      </w:r>
    </w:p>
    <w:p>
      <w:pPr>
        <w:adjustRightInd w:val="0"/>
        <w:snapToGrid w:val="0"/>
        <w:spacing w:line="360" w:lineRule="auto"/>
        <w:ind w:firstLine="420" w:firstLineChars="200"/>
        <w:rPr>
          <w:rFonts w:ascii="宋体" w:cs="Times New Roman"/>
          <w:highlight w:val="none"/>
        </w:rPr>
      </w:pPr>
      <w:r>
        <w:rPr>
          <w:rFonts w:ascii="宋体" w:hAnsi="宋体" w:cs="宋体"/>
          <w:highlight w:val="none"/>
        </w:rPr>
        <w:t>1</w:t>
      </w:r>
      <w:r>
        <w:rPr>
          <w:rFonts w:hint="eastAsia" w:ascii="宋体" w:hAnsi="宋体" w:cs="宋体"/>
          <w:highlight w:val="none"/>
        </w:rPr>
        <w:t>、最后报价按第二章磋商须知第</w:t>
      </w:r>
      <w:r>
        <w:rPr>
          <w:rFonts w:ascii="宋体" w:hAnsi="宋体" w:cs="宋体"/>
          <w:highlight w:val="none"/>
        </w:rPr>
        <w:t>30</w:t>
      </w:r>
      <w:r>
        <w:rPr>
          <w:rFonts w:hint="eastAsia" w:ascii="宋体" w:hAnsi="宋体" w:cs="宋体"/>
          <w:highlight w:val="none"/>
        </w:rPr>
        <w:t>条规定提供。</w:t>
      </w:r>
    </w:p>
    <w:p>
      <w:pPr>
        <w:adjustRightInd w:val="0"/>
        <w:snapToGrid w:val="0"/>
        <w:spacing w:line="360" w:lineRule="auto"/>
        <w:ind w:left="-88" w:leftChars="-42" w:firstLine="525" w:firstLineChars="250"/>
        <w:rPr>
          <w:rFonts w:ascii="宋体" w:cs="Times New Roman"/>
          <w:highlight w:val="none"/>
        </w:rPr>
      </w:pPr>
      <w:r>
        <w:rPr>
          <w:rFonts w:ascii="宋体" w:hAnsi="宋体" w:cs="宋体"/>
          <w:highlight w:val="none"/>
        </w:rPr>
        <w:t>2</w:t>
      </w:r>
      <w:r>
        <w:rPr>
          <w:rFonts w:hint="eastAsia" w:ascii="宋体" w:hAnsi="宋体" w:cs="宋体"/>
          <w:highlight w:val="none"/>
        </w:rPr>
        <w:t>、最后报价需填列报价一览表。</w:t>
      </w:r>
    </w:p>
    <w:p>
      <w:pPr>
        <w:adjustRightInd w:val="0"/>
        <w:snapToGrid w:val="0"/>
        <w:spacing w:line="360" w:lineRule="auto"/>
        <w:ind w:firstLine="420" w:firstLineChars="200"/>
        <w:rPr>
          <w:rFonts w:ascii="宋体" w:cs="Times New Roman"/>
          <w:highlight w:val="none"/>
        </w:rPr>
      </w:pPr>
      <w:r>
        <w:rPr>
          <w:rFonts w:ascii="宋体" w:hAnsi="宋体" w:cs="宋体"/>
          <w:highlight w:val="none"/>
        </w:rPr>
        <w:t>3</w:t>
      </w:r>
      <w:r>
        <w:rPr>
          <w:rFonts w:hint="eastAsia" w:ascii="宋体" w:hAnsi="宋体" w:cs="宋体"/>
          <w:highlight w:val="none"/>
        </w:rPr>
        <w:t>、最后报价在磋商现场经磋商后提交。</w:t>
      </w:r>
    </w:p>
    <w:p>
      <w:pPr>
        <w:adjustRightInd w:val="0"/>
        <w:snapToGrid w:val="0"/>
        <w:spacing w:line="360" w:lineRule="auto"/>
        <w:ind w:left="-88" w:leftChars="-42" w:firstLine="525" w:firstLineChars="250"/>
        <w:rPr>
          <w:rFonts w:ascii="宋体" w:cs="Times New Roman"/>
          <w:highlight w:val="none"/>
        </w:rPr>
      </w:pPr>
    </w:p>
    <w:p>
      <w:pPr>
        <w:adjustRightInd w:val="0"/>
        <w:snapToGrid w:val="0"/>
        <w:spacing w:line="360" w:lineRule="auto"/>
        <w:ind w:left="-88" w:leftChars="-42"/>
        <w:rPr>
          <w:rFonts w:ascii="宋体" w:cs="Times New Roman"/>
          <w:highlight w:val="none"/>
        </w:rPr>
      </w:pPr>
    </w:p>
    <w:p>
      <w:pPr>
        <w:rPr>
          <w:rFonts w:cs="Times New Roman"/>
          <w:highlight w:val="none"/>
        </w:rPr>
      </w:pPr>
    </w:p>
    <w:bookmarkEnd w:id="10"/>
    <w:sectPr>
      <w:footerReference r:id="rId3" w:type="default"/>
      <w:pgSz w:w="11906" w:h="16838"/>
      <w:pgMar w:top="1474" w:right="1474" w:bottom="232" w:left="1588" w:header="851" w:footer="881"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6FF" w:usb1="400004FF" w:usb2="00000000"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
    <w:altName w:val="Segoe Print"/>
    <w:panose1 w:val="00000000000000000000"/>
    <w:charset w:val="00"/>
    <w:family w:val="auto"/>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隶书">
    <w:altName w:val="微软雅黑"/>
    <w:panose1 w:val="0201050906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华文中宋">
    <w:altName w:val="宋体"/>
    <w:panose1 w:val="02010600040101010101"/>
    <w:charset w:val="86"/>
    <w:family w:val="auto"/>
    <w:pitch w:val="default"/>
    <w:sig w:usb0="00000000" w:usb1="00000000" w:usb2="00000010" w:usb3="00000000" w:csb0="0004009F" w:csb1="00000000"/>
  </w:font>
  <w:font w:name="仿宋_GB2312">
    <w:altName w:val="仿宋"/>
    <w:panose1 w:val="02010609030101010101"/>
    <w:charset w:val="86"/>
    <w:family w:val="modern"/>
    <w:pitch w:val="default"/>
    <w:sig w:usb0="00000000" w:usb1="00000000" w:usb2="00000000" w:usb3="00000000" w:csb0="00040000" w:csb1="00000000"/>
  </w:font>
  <w:font w:name="方正小标宋_GBK">
    <w:altName w:val="微软雅黑"/>
    <w:panose1 w:val="02000000000000000000"/>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framePr w:wrap="around" w:vAnchor="text" w:hAnchor="margin" w:xAlign="right" w:y="1"/>
      <w:rPr>
        <w:rStyle w:val="23"/>
      </w:rPr>
    </w:pPr>
    <w:r>
      <w:rPr>
        <w:rStyle w:val="23"/>
        <w:rFonts w:cs="Calibri"/>
      </w:rPr>
      <w:fldChar w:fldCharType="begin"/>
    </w:r>
    <w:r>
      <w:rPr>
        <w:rStyle w:val="23"/>
        <w:rFonts w:cs="Calibri"/>
      </w:rPr>
      <w:instrText xml:space="preserve">PAGE  </w:instrText>
    </w:r>
    <w:r>
      <w:rPr>
        <w:rStyle w:val="23"/>
        <w:rFonts w:cs="Calibri"/>
      </w:rPr>
      <w:fldChar w:fldCharType="separate"/>
    </w:r>
    <w:r>
      <w:rPr>
        <w:rStyle w:val="23"/>
        <w:rFonts w:cs="Calibri"/>
      </w:rPr>
      <w:t>22</w:t>
    </w:r>
    <w:r>
      <w:rPr>
        <w:rStyle w:val="23"/>
        <w:rFonts w:cs="Calibri"/>
      </w:rPr>
      <w:fldChar w:fldCharType="end"/>
    </w:r>
  </w:p>
  <w:p>
    <w:pPr>
      <w:pStyle w:val="15"/>
      <w:ind w:right="360"/>
      <w:rPr>
        <w:rFonts w:cs="Times New Roman"/>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3D"/>
    <w:multiLevelType w:val="multilevel"/>
    <w:tmpl w:val="0000003D"/>
    <w:lvl w:ilvl="0" w:tentative="0">
      <w:start w:val="1"/>
      <w:numFmt w:val="decimal"/>
      <w:lvlText w:val="%1"/>
      <w:lvlJc w:val="left"/>
      <w:pPr>
        <w:tabs>
          <w:tab w:val="left" w:pos="0"/>
        </w:tabs>
        <w:ind w:left="432" w:hanging="432"/>
      </w:pPr>
      <w:rPr>
        <w:rFonts w:hint="eastAsia" w:cs="Times New Roman"/>
      </w:rPr>
    </w:lvl>
    <w:lvl w:ilvl="1" w:tentative="0">
      <w:start w:val="1"/>
      <w:numFmt w:val="decimal"/>
      <w:pStyle w:val="7"/>
      <w:lvlText w:val="%1.%2"/>
      <w:lvlJc w:val="left"/>
      <w:pPr>
        <w:tabs>
          <w:tab w:val="left" w:pos="0"/>
        </w:tabs>
        <w:ind w:left="576" w:hanging="576"/>
      </w:pPr>
      <w:rPr>
        <w:rFonts w:hint="eastAsia" w:cs="Times New Roman"/>
      </w:rPr>
    </w:lvl>
    <w:lvl w:ilvl="2" w:tentative="0">
      <w:start w:val="1"/>
      <w:numFmt w:val="decimal"/>
      <w:lvlText w:val="%1.%2.%3"/>
      <w:lvlJc w:val="left"/>
      <w:pPr>
        <w:tabs>
          <w:tab w:val="left" w:pos="0"/>
        </w:tabs>
        <w:ind w:left="720" w:hanging="720"/>
      </w:pPr>
      <w:rPr>
        <w:rFonts w:hint="eastAsia" w:cs="Times New Roman"/>
        <w:color w:val="auto"/>
      </w:rPr>
    </w:lvl>
    <w:lvl w:ilvl="3" w:tentative="0">
      <w:start w:val="1"/>
      <w:numFmt w:val="decimal"/>
      <w:lvlText w:val="%1.%2.%3.%4"/>
      <w:lvlJc w:val="left"/>
      <w:pPr>
        <w:tabs>
          <w:tab w:val="left" w:pos="0"/>
        </w:tabs>
        <w:ind w:left="864" w:hanging="864"/>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rPr>
    </w:lvl>
    <w:lvl w:ilvl="4" w:tentative="0">
      <w:start w:val="1"/>
      <w:numFmt w:val="decimal"/>
      <w:lvlText w:val="%1.%2.%3.%4.%5"/>
      <w:lvlJc w:val="left"/>
      <w:pPr>
        <w:tabs>
          <w:tab w:val="left" w:pos="0"/>
        </w:tabs>
        <w:ind w:left="1008" w:hanging="1008"/>
      </w:pPr>
      <w:rPr>
        <w:rFonts w:hint="eastAsia" w:cs="Times New Roman"/>
        <w:i w:val="0"/>
        <w:iCs w:val="0"/>
        <w:caps w:val="0"/>
        <w:smallCaps w:val="0"/>
        <w:strike w:val="0"/>
        <w:dstrike w:val="0"/>
        <w:vanish w:val="0"/>
        <w:color w:val="000000"/>
        <w:spacing w:val="0"/>
        <w:kern w:val="0"/>
        <w:position w:val="0"/>
        <w:u w:val="none"/>
        <w:vertAlign w:val="baseline"/>
      </w:rPr>
    </w:lvl>
    <w:lvl w:ilvl="5" w:tentative="0">
      <w:start w:val="1"/>
      <w:numFmt w:val="decimal"/>
      <w:lvlText w:val="%1.%2.%3.%4.%5.%6"/>
      <w:lvlJc w:val="left"/>
      <w:pPr>
        <w:tabs>
          <w:tab w:val="left" w:pos="0"/>
        </w:tabs>
        <w:ind w:left="1152" w:hanging="1152"/>
      </w:pPr>
      <w:rPr>
        <w:rFonts w:hint="eastAsia" w:cs="Times New Roman"/>
      </w:rPr>
    </w:lvl>
    <w:lvl w:ilvl="6" w:tentative="0">
      <w:start w:val="1"/>
      <w:numFmt w:val="decimal"/>
      <w:lvlText w:val="%1.%2.%3.%4.%5.%6.%7"/>
      <w:lvlJc w:val="left"/>
      <w:pPr>
        <w:tabs>
          <w:tab w:val="left" w:pos="0"/>
        </w:tabs>
        <w:ind w:left="1296" w:hanging="1296"/>
      </w:pPr>
      <w:rPr>
        <w:rFonts w:hint="eastAsia" w:cs="Times New Roman"/>
      </w:rPr>
    </w:lvl>
    <w:lvl w:ilvl="7" w:tentative="0">
      <w:start w:val="1"/>
      <w:numFmt w:val="decimal"/>
      <w:lvlText w:val="%1.%2.%3.%4.%5.%6.%7.%8"/>
      <w:lvlJc w:val="left"/>
      <w:pPr>
        <w:tabs>
          <w:tab w:val="left" w:pos="0"/>
        </w:tabs>
        <w:ind w:left="1440" w:hanging="1440"/>
      </w:pPr>
      <w:rPr>
        <w:rFonts w:hint="eastAsia" w:cs="Times New Roman"/>
      </w:rPr>
    </w:lvl>
    <w:lvl w:ilvl="8" w:tentative="0">
      <w:start w:val="1"/>
      <w:numFmt w:val="decimal"/>
      <w:lvlText w:val="%1.%2.%3.%4.%5.%6.%7.%8.%9"/>
      <w:lvlJc w:val="left"/>
      <w:pPr>
        <w:tabs>
          <w:tab w:val="left" w:pos="0"/>
        </w:tabs>
        <w:ind w:left="1584" w:hanging="1584"/>
      </w:pPr>
      <w:rPr>
        <w:rFonts w:hint="eastAsia" w:cs="Times New Roman"/>
      </w:rPr>
    </w:lvl>
  </w:abstractNum>
  <w:abstractNum w:abstractNumId="1">
    <w:nsid w:val="32A75D1C"/>
    <w:multiLevelType w:val="multilevel"/>
    <w:tmpl w:val="32A75D1C"/>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592599FA"/>
    <w:multiLevelType w:val="singleLevel"/>
    <w:tmpl w:val="592599FA"/>
    <w:lvl w:ilvl="0" w:tentative="0">
      <w:start w:val="10"/>
      <w:numFmt w:val="chineseCounting"/>
      <w:suff w:val="nothing"/>
      <w:lvlText w:val="%1、"/>
      <w:lvlJc w:val="left"/>
      <w:rPr>
        <w:rFonts w:cs="Times New Roman"/>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oNotHyphenateCaps/>
  <w:drawingGridHorizontalSpacing w:val="105"/>
  <w:drawingGridVerticalSpacing w:val="156"/>
  <w:displayHorizontalDrawingGridEvery w:val="2"/>
  <w:displayVerticalDrawingGridEvery w:val="2"/>
  <w:noPunctuationKerning w:val="1"/>
  <w:characterSpacingControl w:val="compressPunctuation"/>
  <w:noLineBreaksAfter w:lang="zh-CN" w:val="([{·‘“〈《「『【〔〖（．［｛￡￥"/>
  <w:noLineBreaksBefore w:lang="zh-CN" w:val="!),.:;?]}¨·ˇˉ―‖’”…∶、。〃々〉》」』】〕〗！＂＇），．：；？］｀｜｝～￠"/>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967698D"/>
    <w:rsid w:val="00003C09"/>
    <w:rsid w:val="0000567B"/>
    <w:rsid w:val="00005F4B"/>
    <w:rsid w:val="00006831"/>
    <w:rsid w:val="00020BE3"/>
    <w:rsid w:val="00022203"/>
    <w:rsid w:val="0002590E"/>
    <w:rsid w:val="00031268"/>
    <w:rsid w:val="00031E2B"/>
    <w:rsid w:val="000328C7"/>
    <w:rsid w:val="0003744F"/>
    <w:rsid w:val="00040F4C"/>
    <w:rsid w:val="00040F78"/>
    <w:rsid w:val="00041DE7"/>
    <w:rsid w:val="000424D2"/>
    <w:rsid w:val="000447F6"/>
    <w:rsid w:val="00052A07"/>
    <w:rsid w:val="00061399"/>
    <w:rsid w:val="000651C3"/>
    <w:rsid w:val="00071906"/>
    <w:rsid w:val="000736C6"/>
    <w:rsid w:val="00080768"/>
    <w:rsid w:val="00080CF1"/>
    <w:rsid w:val="00082306"/>
    <w:rsid w:val="00085489"/>
    <w:rsid w:val="00085955"/>
    <w:rsid w:val="00095FFA"/>
    <w:rsid w:val="000A0439"/>
    <w:rsid w:val="000A0C2B"/>
    <w:rsid w:val="000A0EC0"/>
    <w:rsid w:val="000A22F3"/>
    <w:rsid w:val="000A26C1"/>
    <w:rsid w:val="000A61A4"/>
    <w:rsid w:val="000A6597"/>
    <w:rsid w:val="000B2C00"/>
    <w:rsid w:val="000B2C94"/>
    <w:rsid w:val="000B5BE1"/>
    <w:rsid w:val="000B7046"/>
    <w:rsid w:val="000D2648"/>
    <w:rsid w:val="000D58FD"/>
    <w:rsid w:val="000D594B"/>
    <w:rsid w:val="000D5ACD"/>
    <w:rsid w:val="000D78BD"/>
    <w:rsid w:val="000E1112"/>
    <w:rsid w:val="000E2B21"/>
    <w:rsid w:val="000F6C52"/>
    <w:rsid w:val="00105448"/>
    <w:rsid w:val="00112BCA"/>
    <w:rsid w:val="00117ED4"/>
    <w:rsid w:val="0012133D"/>
    <w:rsid w:val="00123686"/>
    <w:rsid w:val="001236BB"/>
    <w:rsid w:val="00126CC6"/>
    <w:rsid w:val="00127893"/>
    <w:rsid w:val="0013058A"/>
    <w:rsid w:val="00132A81"/>
    <w:rsid w:val="00134185"/>
    <w:rsid w:val="00135C13"/>
    <w:rsid w:val="00150868"/>
    <w:rsid w:val="00151FAE"/>
    <w:rsid w:val="00156A6D"/>
    <w:rsid w:val="0015770E"/>
    <w:rsid w:val="00170BED"/>
    <w:rsid w:val="001760CA"/>
    <w:rsid w:val="0018249C"/>
    <w:rsid w:val="001914F8"/>
    <w:rsid w:val="0019237B"/>
    <w:rsid w:val="0019766D"/>
    <w:rsid w:val="00197977"/>
    <w:rsid w:val="001A13B4"/>
    <w:rsid w:val="001B59E9"/>
    <w:rsid w:val="001B5B0E"/>
    <w:rsid w:val="001C019A"/>
    <w:rsid w:val="001C3E2D"/>
    <w:rsid w:val="001C6041"/>
    <w:rsid w:val="001C7505"/>
    <w:rsid w:val="001D108E"/>
    <w:rsid w:val="001E70AB"/>
    <w:rsid w:val="001F7639"/>
    <w:rsid w:val="00200ED3"/>
    <w:rsid w:val="00202AA2"/>
    <w:rsid w:val="00206093"/>
    <w:rsid w:val="00207B9D"/>
    <w:rsid w:val="00210887"/>
    <w:rsid w:val="002112F6"/>
    <w:rsid w:val="002123A6"/>
    <w:rsid w:val="002133AD"/>
    <w:rsid w:val="00216107"/>
    <w:rsid w:val="002214F0"/>
    <w:rsid w:val="0022259B"/>
    <w:rsid w:val="002251EB"/>
    <w:rsid w:val="00226BA7"/>
    <w:rsid w:val="00231DAD"/>
    <w:rsid w:val="00231FF4"/>
    <w:rsid w:val="00241BED"/>
    <w:rsid w:val="00241D12"/>
    <w:rsid w:val="00245835"/>
    <w:rsid w:val="00246152"/>
    <w:rsid w:val="0025239E"/>
    <w:rsid w:val="00257A94"/>
    <w:rsid w:val="00261700"/>
    <w:rsid w:val="0027412F"/>
    <w:rsid w:val="0027448E"/>
    <w:rsid w:val="00276BE5"/>
    <w:rsid w:val="00283C57"/>
    <w:rsid w:val="002841C4"/>
    <w:rsid w:val="002843C3"/>
    <w:rsid w:val="00292121"/>
    <w:rsid w:val="002A1CC2"/>
    <w:rsid w:val="002A2BB1"/>
    <w:rsid w:val="002A6C8A"/>
    <w:rsid w:val="002B15DC"/>
    <w:rsid w:val="002B4AA9"/>
    <w:rsid w:val="002B6345"/>
    <w:rsid w:val="002B6C31"/>
    <w:rsid w:val="002C483F"/>
    <w:rsid w:val="002C5ED1"/>
    <w:rsid w:val="002D4452"/>
    <w:rsid w:val="002E2130"/>
    <w:rsid w:val="002F1027"/>
    <w:rsid w:val="002F3B15"/>
    <w:rsid w:val="002F3F88"/>
    <w:rsid w:val="00302845"/>
    <w:rsid w:val="00305011"/>
    <w:rsid w:val="00312E86"/>
    <w:rsid w:val="00317FAE"/>
    <w:rsid w:val="0033012F"/>
    <w:rsid w:val="003307AF"/>
    <w:rsid w:val="00341CB6"/>
    <w:rsid w:val="00344C82"/>
    <w:rsid w:val="00346F43"/>
    <w:rsid w:val="00347FC2"/>
    <w:rsid w:val="003576DF"/>
    <w:rsid w:val="0036171F"/>
    <w:rsid w:val="00365AC0"/>
    <w:rsid w:val="003710B5"/>
    <w:rsid w:val="00374895"/>
    <w:rsid w:val="0037778D"/>
    <w:rsid w:val="003826B4"/>
    <w:rsid w:val="00382C27"/>
    <w:rsid w:val="00387DD9"/>
    <w:rsid w:val="003953B3"/>
    <w:rsid w:val="003955AD"/>
    <w:rsid w:val="003A0A6A"/>
    <w:rsid w:val="003A4971"/>
    <w:rsid w:val="003B4881"/>
    <w:rsid w:val="003B5153"/>
    <w:rsid w:val="003B76C1"/>
    <w:rsid w:val="003B7ABB"/>
    <w:rsid w:val="003C6627"/>
    <w:rsid w:val="003D38DA"/>
    <w:rsid w:val="003D4AEA"/>
    <w:rsid w:val="003D5BCA"/>
    <w:rsid w:val="003D73CB"/>
    <w:rsid w:val="003D7753"/>
    <w:rsid w:val="003E12FC"/>
    <w:rsid w:val="003E346A"/>
    <w:rsid w:val="003E3DDC"/>
    <w:rsid w:val="003F0B7A"/>
    <w:rsid w:val="003F2F7C"/>
    <w:rsid w:val="003F41B8"/>
    <w:rsid w:val="003F4BD9"/>
    <w:rsid w:val="00400422"/>
    <w:rsid w:val="00400825"/>
    <w:rsid w:val="004029EF"/>
    <w:rsid w:val="004100FB"/>
    <w:rsid w:val="004130CD"/>
    <w:rsid w:val="004235CF"/>
    <w:rsid w:val="00423901"/>
    <w:rsid w:val="00426717"/>
    <w:rsid w:val="004412A8"/>
    <w:rsid w:val="00441398"/>
    <w:rsid w:val="00443D06"/>
    <w:rsid w:val="0044494F"/>
    <w:rsid w:val="0044728F"/>
    <w:rsid w:val="0046316E"/>
    <w:rsid w:val="00465013"/>
    <w:rsid w:val="00465447"/>
    <w:rsid w:val="00471D0A"/>
    <w:rsid w:val="00474D1F"/>
    <w:rsid w:val="004804C8"/>
    <w:rsid w:val="004830E8"/>
    <w:rsid w:val="00484A63"/>
    <w:rsid w:val="00491EC7"/>
    <w:rsid w:val="00497DC0"/>
    <w:rsid w:val="004A320D"/>
    <w:rsid w:val="004A7C9F"/>
    <w:rsid w:val="004B3F52"/>
    <w:rsid w:val="004B577D"/>
    <w:rsid w:val="004B6B5A"/>
    <w:rsid w:val="004C177B"/>
    <w:rsid w:val="004D244D"/>
    <w:rsid w:val="004E309B"/>
    <w:rsid w:val="004E50F1"/>
    <w:rsid w:val="0050738E"/>
    <w:rsid w:val="005122A8"/>
    <w:rsid w:val="00514246"/>
    <w:rsid w:val="005145E5"/>
    <w:rsid w:val="00520FE7"/>
    <w:rsid w:val="0052286F"/>
    <w:rsid w:val="0052427A"/>
    <w:rsid w:val="00527B3B"/>
    <w:rsid w:val="005323EA"/>
    <w:rsid w:val="00532F16"/>
    <w:rsid w:val="005337F1"/>
    <w:rsid w:val="00535BA0"/>
    <w:rsid w:val="005405FE"/>
    <w:rsid w:val="00550678"/>
    <w:rsid w:val="005622BF"/>
    <w:rsid w:val="0056356B"/>
    <w:rsid w:val="005654E4"/>
    <w:rsid w:val="0056712E"/>
    <w:rsid w:val="0056745E"/>
    <w:rsid w:val="0057186D"/>
    <w:rsid w:val="00573767"/>
    <w:rsid w:val="00575B1A"/>
    <w:rsid w:val="00575CDE"/>
    <w:rsid w:val="00577C2C"/>
    <w:rsid w:val="00580155"/>
    <w:rsid w:val="0058358E"/>
    <w:rsid w:val="00590DE3"/>
    <w:rsid w:val="005913EC"/>
    <w:rsid w:val="00595CD9"/>
    <w:rsid w:val="005A78AD"/>
    <w:rsid w:val="005B281C"/>
    <w:rsid w:val="005B6AAD"/>
    <w:rsid w:val="005C34EB"/>
    <w:rsid w:val="005C46F1"/>
    <w:rsid w:val="005C577B"/>
    <w:rsid w:val="005D1AC9"/>
    <w:rsid w:val="005D5307"/>
    <w:rsid w:val="005D5993"/>
    <w:rsid w:val="005D5BED"/>
    <w:rsid w:val="005D77AD"/>
    <w:rsid w:val="005E38E0"/>
    <w:rsid w:val="005E5B1C"/>
    <w:rsid w:val="005E6703"/>
    <w:rsid w:val="005F1DFC"/>
    <w:rsid w:val="005F2533"/>
    <w:rsid w:val="005F3681"/>
    <w:rsid w:val="00600588"/>
    <w:rsid w:val="006012A3"/>
    <w:rsid w:val="006025D8"/>
    <w:rsid w:val="00602EA6"/>
    <w:rsid w:val="00603664"/>
    <w:rsid w:val="00606CA7"/>
    <w:rsid w:val="006110BC"/>
    <w:rsid w:val="00615F6A"/>
    <w:rsid w:val="006220AD"/>
    <w:rsid w:val="006424B4"/>
    <w:rsid w:val="00642F01"/>
    <w:rsid w:val="0064652F"/>
    <w:rsid w:val="006474D5"/>
    <w:rsid w:val="00651933"/>
    <w:rsid w:val="00651FF7"/>
    <w:rsid w:val="006533B6"/>
    <w:rsid w:val="006553CB"/>
    <w:rsid w:val="0065694E"/>
    <w:rsid w:val="00656A65"/>
    <w:rsid w:val="00665C65"/>
    <w:rsid w:val="006700FF"/>
    <w:rsid w:val="00676056"/>
    <w:rsid w:val="0067608D"/>
    <w:rsid w:val="00683E89"/>
    <w:rsid w:val="00694738"/>
    <w:rsid w:val="006B12AF"/>
    <w:rsid w:val="006B1BD1"/>
    <w:rsid w:val="006B5469"/>
    <w:rsid w:val="006B76F8"/>
    <w:rsid w:val="006C0F11"/>
    <w:rsid w:val="006D0449"/>
    <w:rsid w:val="006D1C2D"/>
    <w:rsid w:val="006D387C"/>
    <w:rsid w:val="006D59DB"/>
    <w:rsid w:val="006D5D73"/>
    <w:rsid w:val="006D7B79"/>
    <w:rsid w:val="006E5BA6"/>
    <w:rsid w:val="006F226A"/>
    <w:rsid w:val="006F32A0"/>
    <w:rsid w:val="00707911"/>
    <w:rsid w:val="00707F59"/>
    <w:rsid w:val="0072005A"/>
    <w:rsid w:val="007305A7"/>
    <w:rsid w:val="00735026"/>
    <w:rsid w:val="00735BC9"/>
    <w:rsid w:val="007363D6"/>
    <w:rsid w:val="007367ED"/>
    <w:rsid w:val="00742E96"/>
    <w:rsid w:val="0075473F"/>
    <w:rsid w:val="007616EF"/>
    <w:rsid w:val="00764576"/>
    <w:rsid w:val="007676B4"/>
    <w:rsid w:val="0077013F"/>
    <w:rsid w:val="0077550C"/>
    <w:rsid w:val="0077613F"/>
    <w:rsid w:val="007837E7"/>
    <w:rsid w:val="007870AF"/>
    <w:rsid w:val="00787E4B"/>
    <w:rsid w:val="00793DB4"/>
    <w:rsid w:val="00794B83"/>
    <w:rsid w:val="007967AE"/>
    <w:rsid w:val="007A09B2"/>
    <w:rsid w:val="007A66ED"/>
    <w:rsid w:val="007C0962"/>
    <w:rsid w:val="007C34DF"/>
    <w:rsid w:val="007C4DBD"/>
    <w:rsid w:val="007D0BC5"/>
    <w:rsid w:val="007D143B"/>
    <w:rsid w:val="007D1DF8"/>
    <w:rsid w:val="007D6BFB"/>
    <w:rsid w:val="007D7611"/>
    <w:rsid w:val="007F0568"/>
    <w:rsid w:val="007F23BE"/>
    <w:rsid w:val="007F5067"/>
    <w:rsid w:val="007F71F1"/>
    <w:rsid w:val="008002C8"/>
    <w:rsid w:val="00803246"/>
    <w:rsid w:val="008036BC"/>
    <w:rsid w:val="00803C04"/>
    <w:rsid w:val="00817A22"/>
    <w:rsid w:val="00823B0E"/>
    <w:rsid w:val="0082550C"/>
    <w:rsid w:val="00830682"/>
    <w:rsid w:val="00831F19"/>
    <w:rsid w:val="008361E2"/>
    <w:rsid w:val="00837E0D"/>
    <w:rsid w:val="0084301B"/>
    <w:rsid w:val="00846602"/>
    <w:rsid w:val="00847D01"/>
    <w:rsid w:val="00852204"/>
    <w:rsid w:val="0085725C"/>
    <w:rsid w:val="00860709"/>
    <w:rsid w:val="008607FB"/>
    <w:rsid w:val="00861003"/>
    <w:rsid w:val="00870CDA"/>
    <w:rsid w:val="00872561"/>
    <w:rsid w:val="0088761C"/>
    <w:rsid w:val="008907D7"/>
    <w:rsid w:val="00891419"/>
    <w:rsid w:val="008928AE"/>
    <w:rsid w:val="00893D9A"/>
    <w:rsid w:val="00896B8F"/>
    <w:rsid w:val="00897C1C"/>
    <w:rsid w:val="008A2E45"/>
    <w:rsid w:val="008A4BB9"/>
    <w:rsid w:val="008A5A84"/>
    <w:rsid w:val="008A66AA"/>
    <w:rsid w:val="008A6A24"/>
    <w:rsid w:val="008B6147"/>
    <w:rsid w:val="008B72FF"/>
    <w:rsid w:val="008B736E"/>
    <w:rsid w:val="008D0E77"/>
    <w:rsid w:val="008D7C36"/>
    <w:rsid w:val="008E3105"/>
    <w:rsid w:val="008E7D27"/>
    <w:rsid w:val="008F13AE"/>
    <w:rsid w:val="008F76F0"/>
    <w:rsid w:val="00905793"/>
    <w:rsid w:val="009057D9"/>
    <w:rsid w:val="00905912"/>
    <w:rsid w:val="00907E6C"/>
    <w:rsid w:val="0091164B"/>
    <w:rsid w:val="009220DB"/>
    <w:rsid w:val="0092264F"/>
    <w:rsid w:val="00931A2E"/>
    <w:rsid w:val="009340EE"/>
    <w:rsid w:val="00934456"/>
    <w:rsid w:val="00934B43"/>
    <w:rsid w:val="009433DB"/>
    <w:rsid w:val="009436C0"/>
    <w:rsid w:val="00945E37"/>
    <w:rsid w:val="009477D3"/>
    <w:rsid w:val="00954B43"/>
    <w:rsid w:val="009550C3"/>
    <w:rsid w:val="00965F44"/>
    <w:rsid w:val="00976435"/>
    <w:rsid w:val="00981E7F"/>
    <w:rsid w:val="00982FA3"/>
    <w:rsid w:val="009839B2"/>
    <w:rsid w:val="0098582F"/>
    <w:rsid w:val="00986603"/>
    <w:rsid w:val="009874DD"/>
    <w:rsid w:val="00993B4D"/>
    <w:rsid w:val="0099507C"/>
    <w:rsid w:val="009A0C43"/>
    <w:rsid w:val="009A121A"/>
    <w:rsid w:val="009A7044"/>
    <w:rsid w:val="009B2D2C"/>
    <w:rsid w:val="009B5234"/>
    <w:rsid w:val="009C3A53"/>
    <w:rsid w:val="009C7FEC"/>
    <w:rsid w:val="009D2375"/>
    <w:rsid w:val="009D3BB2"/>
    <w:rsid w:val="009D7268"/>
    <w:rsid w:val="009E098D"/>
    <w:rsid w:val="009E3AAE"/>
    <w:rsid w:val="009E5042"/>
    <w:rsid w:val="009F1C85"/>
    <w:rsid w:val="009F50C2"/>
    <w:rsid w:val="00A0447F"/>
    <w:rsid w:val="00A04D53"/>
    <w:rsid w:val="00A05EEF"/>
    <w:rsid w:val="00A0732B"/>
    <w:rsid w:val="00A136AD"/>
    <w:rsid w:val="00A142EE"/>
    <w:rsid w:val="00A22B82"/>
    <w:rsid w:val="00A27E30"/>
    <w:rsid w:val="00A31398"/>
    <w:rsid w:val="00A31D01"/>
    <w:rsid w:val="00A32794"/>
    <w:rsid w:val="00A33A58"/>
    <w:rsid w:val="00A40B71"/>
    <w:rsid w:val="00A45271"/>
    <w:rsid w:val="00A46360"/>
    <w:rsid w:val="00A46544"/>
    <w:rsid w:val="00A50494"/>
    <w:rsid w:val="00A51B88"/>
    <w:rsid w:val="00A52D89"/>
    <w:rsid w:val="00A537BF"/>
    <w:rsid w:val="00A55F8B"/>
    <w:rsid w:val="00A56E65"/>
    <w:rsid w:val="00A61D8C"/>
    <w:rsid w:val="00A72B12"/>
    <w:rsid w:val="00A72B6C"/>
    <w:rsid w:val="00A7485E"/>
    <w:rsid w:val="00A74C34"/>
    <w:rsid w:val="00A829B2"/>
    <w:rsid w:val="00A83373"/>
    <w:rsid w:val="00A85515"/>
    <w:rsid w:val="00A858F8"/>
    <w:rsid w:val="00A8631E"/>
    <w:rsid w:val="00A87A2E"/>
    <w:rsid w:val="00A913EC"/>
    <w:rsid w:val="00A93104"/>
    <w:rsid w:val="00A94520"/>
    <w:rsid w:val="00AA685C"/>
    <w:rsid w:val="00AB32CD"/>
    <w:rsid w:val="00AB78E9"/>
    <w:rsid w:val="00AC54E9"/>
    <w:rsid w:val="00AD1E51"/>
    <w:rsid w:val="00AD22C5"/>
    <w:rsid w:val="00AD3487"/>
    <w:rsid w:val="00AD554B"/>
    <w:rsid w:val="00AE07E0"/>
    <w:rsid w:val="00AE27D3"/>
    <w:rsid w:val="00AE70A3"/>
    <w:rsid w:val="00AF18D9"/>
    <w:rsid w:val="00AF26C4"/>
    <w:rsid w:val="00AF3F02"/>
    <w:rsid w:val="00AF51CF"/>
    <w:rsid w:val="00AF552D"/>
    <w:rsid w:val="00B132DB"/>
    <w:rsid w:val="00B157F1"/>
    <w:rsid w:val="00B15F4F"/>
    <w:rsid w:val="00B1740D"/>
    <w:rsid w:val="00B249C4"/>
    <w:rsid w:val="00B41B30"/>
    <w:rsid w:val="00B513D0"/>
    <w:rsid w:val="00B51ABE"/>
    <w:rsid w:val="00B553BF"/>
    <w:rsid w:val="00B561ED"/>
    <w:rsid w:val="00B57738"/>
    <w:rsid w:val="00B615E6"/>
    <w:rsid w:val="00B64A25"/>
    <w:rsid w:val="00B64D3C"/>
    <w:rsid w:val="00B66CD3"/>
    <w:rsid w:val="00B7005B"/>
    <w:rsid w:val="00B70502"/>
    <w:rsid w:val="00B715B9"/>
    <w:rsid w:val="00B76B70"/>
    <w:rsid w:val="00B77335"/>
    <w:rsid w:val="00B80FE0"/>
    <w:rsid w:val="00B8304C"/>
    <w:rsid w:val="00B84AA5"/>
    <w:rsid w:val="00B84C05"/>
    <w:rsid w:val="00BA1097"/>
    <w:rsid w:val="00BA1748"/>
    <w:rsid w:val="00BA203B"/>
    <w:rsid w:val="00BB497C"/>
    <w:rsid w:val="00BB5D66"/>
    <w:rsid w:val="00BC192C"/>
    <w:rsid w:val="00BC5D5A"/>
    <w:rsid w:val="00BD0323"/>
    <w:rsid w:val="00BE2DCE"/>
    <w:rsid w:val="00BE696E"/>
    <w:rsid w:val="00BE6E6E"/>
    <w:rsid w:val="00BE6F4A"/>
    <w:rsid w:val="00BF20AD"/>
    <w:rsid w:val="00BF4E7C"/>
    <w:rsid w:val="00BF6EA0"/>
    <w:rsid w:val="00C04C36"/>
    <w:rsid w:val="00C0505A"/>
    <w:rsid w:val="00C11F6A"/>
    <w:rsid w:val="00C14C8D"/>
    <w:rsid w:val="00C17041"/>
    <w:rsid w:val="00C20831"/>
    <w:rsid w:val="00C2098F"/>
    <w:rsid w:val="00C22159"/>
    <w:rsid w:val="00C2419A"/>
    <w:rsid w:val="00C24AD6"/>
    <w:rsid w:val="00C33FBE"/>
    <w:rsid w:val="00C3546B"/>
    <w:rsid w:val="00C371D0"/>
    <w:rsid w:val="00C4038A"/>
    <w:rsid w:val="00C40970"/>
    <w:rsid w:val="00C4631A"/>
    <w:rsid w:val="00C47C45"/>
    <w:rsid w:val="00C5635D"/>
    <w:rsid w:val="00C60698"/>
    <w:rsid w:val="00C62CA8"/>
    <w:rsid w:val="00C62FDF"/>
    <w:rsid w:val="00C64C35"/>
    <w:rsid w:val="00C65E77"/>
    <w:rsid w:val="00C66766"/>
    <w:rsid w:val="00C678B8"/>
    <w:rsid w:val="00C80B46"/>
    <w:rsid w:val="00C8237F"/>
    <w:rsid w:val="00C86EF2"/>
    <w:rsid w:val="00C9011F"/>
    <w:rsid w:val="00C97752"/>
    <w:rsid w:val="00CA4961"/>
    <w:rsid w:val="00CB2AD0"/>
    <w:rsid w:val="00CB5ADE"/>
    <w:rsid w:val="00CB5F03"/>
    <w:rsid w:val="00CB7EF2"/>
    <w:rsid w:val="00CC2BE1"/>
    <w:rsid w:val="00CC415C"/>
    <w:rsid w:val="00CD3E2B"/>
    <w:rsid w:val="00CE0629"/>
    <w:rsid w:val="00CE0F62"/>
    <w:rsid w:val="00CE3CB9"/>
    <w:rsid w:val="00CE42E7"/>
    <w:rsid w:val="00CE4D0A"/>
    <w:rsid w:val="00CE77E8"/>
    <w:rsid w:val="00CE7ED6"/>
    <w:rsid w:val="00CF257E"/>
    <w:rsid w:val="00CF30D0"/>
    <w:rsid w:val="00D0155E"/>
    <w:rsid w:val="00D110A4"/>
    <w:rsid w:val="00D148DE"/>
    <w:rsid w:val="00D22026"/>
    <w:rsid w:val="00D238F7"/>
    <w:rsid w:val="00D3056B"/>
    <w:rsid w:val="00D31113"/>
    <w:rsid w:val="00D31462"/>
    <w:rsid w:val="00D348F2"/>
    <w:rsid w:val="00D501E8"/>
    <w:rsid w:val="00D50FF5"/>
    <w:rsid w:val="00D57AB0"/>
    <w:rsid w:val="00D61C70"/>
    <w:rsid w:val="00D65080"/>
    <w:rsid w:val="00D67E1A"/>
    <w:rsid w:val="00D7185F"/>
    <w:rsid w:val="00D73D40"/>
    <w:rsid w:val="00D7517F"/>
    <w:rsid w:val="00D757DA"/>
    <w:rsid w:val="00D7634B"/>
    <w:rsid w:val="00D81349"/>
    <w:rsid w:val="00D827A4"/>
    <w:rsid w:val="00D84327"/>
    <w:rsid w:val="00D85BA7"/>
    <w:rsid w:val="00D9300A"/>
    <w:rsid w:val="00D935E9"/>
    <w:rsid w:val="00DA7778"/>
    <w:rsid w:val="00DA7844"/>
    <w:rsid w:val="00DB12E1"/>
    <w:rsid w:val="00DB49CF"/>
    <w:rsid w:val="00DC622F"/>
    <w:rsid w:val="00DD4B76"/>
    <w:rsid w:val="00DD5DAD"/>
    <w:rsid w:val="00DE0FCE"/>
    <w:rsid w:val="00DE4288"/>
    <w:rsid w:val="00DE7093"/>
    <w:rsid w:val="00DE7B93"/>
    <w:rsid w:val="00DE7F25"/>
    <w:rsid w:val="00DF7123"/>
    <w:rsid w:val="00E00C91"/>
    <w:rsid w:val="00E0167D"/>
    <w:rsid w:val="00E0383E"/>
    <w:rsid w:val="00E045F0"/>
    <w:rsid w:val="00E10F44"/>
    <w:rsid w:val="00E12566"/>
    <w:rsid w:val="00E1257B"/>
    <w:rsid w:val="00E135D6"/>
    <w:rsid w:val="00E17C31"/>
    <w:rsid w:val="00E22D8A"/>
    <w:rsid w:val="00E238B1"/>
    <w:rsid w:val="00E2535A"/>
    <w:rsid w:val="00E25506"/>
    <w:rsid w:val="00E25D8D"/>
    <w:rsid w:val="00E2698A"/>
    <w:rsid w:val="00E33915"/>
    <w:rsid w:val="00E3453C"/>
    <w:rsid w:val="00E40C22"/>
    <w:rsid w:val="00E560FE"/>
    <w:rsid w:val="00E57A8A"/>
    <w:rsid w:val="00E601B3"/>
    <w:rsid w:val="00E61F64"/>
    <w:rsid w:val="00E63931"/>
    <w:rsid w:val="00E662B5"/>
    <w:rsid w:val="00E668F4"/>
    <w:rsid w:val="00E715EE"/>
    <w:rsid w:val="00E742E5"/>
    <w:rsid w:val="00E76E2A"/>
    <w:rsid w:val="00E80B76"/>
    <w:rsid w:val="00E814B1"/>
    <w:rsid w:val="00E85C70"/>
    <w:rsid w:val="00E85E2A"/>
    <w:rsid w:val="00E91992"/>
    <w:rsid w:val="00E91A35"/>
    <w:rsid w:val="00EA294F"/>
    <w:rsid w:val="00EA4EE5"/>
    <w:rsid w:val="00EB47C2"/>
    <w:rsid w:val="00EC77F7"/>
    <w:rsid w:val="00EC7F02"/>
    <w:rsid w:val="00ED61A1"/>
    <w:rsid w:val="00ED6D5E"/>
    <w:rsid w:val="00EE4825"/>
    <w:rsid w:val="00EE787B"/>
    <w:rsid w:val="00EF03BA"/>
    <w:rsid w:val="00EF2E1D"/>
    <w:rsid w:val="00EF4B51"/>
    <w:rsid w:val="00F00A39"/>
    <w:rsid w:val="00F00F70"/>
    <w:rsid w:val="00F024A0"/>
    <w:rsid w:val="00F02669"/>
    <w:rsid w:val="00F06B47"/>
    <w:rsid w:val="00F11761"/>
    <w:rsid w:val="00F11821"/>
    <w:rsid w:val="00F15427"/>
    <w:rsid w:val="00F167D0"/>
    <w:rsid w:val="00F176FD"/>
    <w:rsid w:val="00F21ADC"/>
    <w:rsid w:val="00F22C1A"/>
    <w:rsid w:val="00F22C7D"/>
    <w:rsid w:val="00F27E37"/>
    <w:rsid w:val="00F3119B"/>
    <w:rsid w:val="00F37D5E"/>
    <w:rsid w:val="00F46EB9"/>
    <w:rsid w:val="00F47EF9"/>
    <w:rsid w:val="00F61E4C"/>
    <w:rsid w:val="00F64141"/>
    <w:rsid w:val="00F72BA5"/>
    <w:rsid w:val="00F73F9D"/>
    <w:rsid w:val="00F74F4D"/>
    <w:rsid w:val="00F76D37"/>
    <w:rsid w:val="00F77B2D"/>
    <w:rsid w:val="00F86766"/>
    <w:rsid w:val="00F87024"/>
    <w:rsid w:val="00F87967"/>
    <w:rsid w:val="00F95A93"/>
    <w:rsid w:val="00FA2171"/>
    <w:rsid w:val="00FA233E"/>
    <w:rsid w:val="00FA54D3"/>
    <w:rsid w:val="00FA57A1"/>
    <w:rsid w:val="00FB4D4B"/>
    <w:rsid w:val="00FB64A9"/>
    <w:rsid w:val="00FB7ABB"/>
    <w:rsid w:val="00FD3BF2"/>
    <w:rsid w:val="00FD779C"/>
    <w:rsid w:val="00FD78E9"/>
    <w:rsid w:val="00FD7AE5"/>
    <w:rsid w:val="00FE20BB"/>
    <w:rsid w:val="00FE2165"/>
    <w:rsid w:val="00FF334A"/>
    <w:rsid w:val="00FF7168"/>
    <w:rsid w:val="01307CE7"/>
    <w:rsid w:val="014F03EF"/>
    <w:rsid w:val="016609DC"/>
    <w:rsid w:val="01A04D21"/>
    <w:rsid w:val="01FB40ED"/>
    <w:rsid w:val="02801596"/>
    <w:rsid w:val="02E70547"/>
    <w:rsid w:val="032A5000"/>
    <w:rsid w:val="03555A65"/>
    <w:rsid w:val="03CF0D1E"/>
    <w:rsid w:val="03EB12A3"/>
    <w:rsid w:val="04116443"/>
    <w:rsid w:val="043D09D3"/>
    <w:rsid w:val="044F15D1"/>
    <w:rsid w:val="047D5273"/>
    <w:rsid w:val="049B5B94"/>
    <w:rsid w:val="0553526D"/>
    <w:rsid w:val="05CA44E8"/>
    <w:rsid w:val="05D34110"/>
    <w:rsid w:val="05F16B58"/>
    <w:rsid w:val="06051EAA"/>
    <w:rsid w:val="061257BA"/>
    <w:rsid w:val="06AB60C8"/>
    <w:rsid w:val="06D80E87"/>
    <w:rsid w:val="073C31C4"/>
    <w:rsid w:val="07636F3C"/>
    <w:rsid w:val="0797489E"/>
    <w:rsid w:val="07D50721"/>
    <w:rsid w:val="07D54CF1"/>
    <w:rsid w:val="07EE7423"/>
    <w:rsid w:val="0839660F"/>
    <w:rsid w:val="08691196"/>
    <w:rsid w:val="088765B6"/>
    <w:rsid w:val="08A2799E"/>
    <w:rsid w:val="08AB454C"/>
    <w:rsid w:val="08E04023"/>
    <w:rsid w:val="092108C3"/>
    <w:rsid w:val="09493478"/>
    <w:rsid w:val="09864BCA"/>
    <w:rsid w:val="0A6826F7"/>
    <w:rsid w:val="0A8B459C"/>
    <w:rsid w:val="0A9065C8"/>
    <w:rsid w:val="0AAD2002"/>
    <w:rsid w:val="0AE637C7"/>
    <w:rsid w:val="0AFC1B96"/>
    <w:rsid w:val="0B275F39"/>
    <w:rsid w:val="0B704FAE"/>
    <w:rsid w:val="0BBE064B"/>
    <w:rsid w:val="0BC87428"/>
    <w:rsid w:val="0C277911"/>
    <w:rsid w:val="0C5D5081"/>
    <w:rsid w:val="0CCC2E72"/>
    <w:rsid w:val="0D081347"/>
    <w:rsid w:val="0D0C42EA"/>
    <w:rsid w:val="0D840016"/>
    <w:rsid w:val="0DC14BC1"/>
    <w:rsid w:val="0EBF2E59"/>
    <w:rsid w:val="0F205179"/>
    <w:rsid w:val="0F4F02A1"/>
    <w:rsid w:val="0F5B3A8C"/>
    <w:rsid w:val="0F8165EF"/>
    <w:rsid w:val="0FDF1DB1"/>
    <w:rsid w:val="0FE57003"/>
    <w:rsid w:val="10255896"/>
    <w:rsid w:val="10D91A83"/>
    <w:rsid w:val="11592BC4"/>
    <w:rsid w:val="11C213B7"/>
    <w:rsid w:val="11FD795D"/>
    <w:rsid w:val="1272218F"/>
    <w:rsid w:val="12AC2D36"/>
    <w:rsid w:val="12C14EC5"/>
    <w:rsid w:val="12E40C72"/>
    <w:rsid w:val="135C4EDD"/>
    <w:rsid w:val="13BA5B9C"/>
    <w:rsid w:val="14110811"/>
    <w:rsid w:val="14157276"/>
    <w:rsid w:val="143C0CA7"/>
    <w:rsid w:val="143D057B"/>
    <w:rsid w:val="14953539"/>
    <w:rsid w:val="150E35A5"/>
    <w:rsid w:val="153B3FDB"/>
    <w:rsid w:val="15AB09F8"/>
    <w:rsid w:val="163F4F8D"/>
    <w:rsid w:val="164E1DA4"/>
    <w:rsid w:val="166F5C23"/>
    <w:rsid w:val="17803BDE"/>
    <w:rsid w:val="17CD53F3"/>
    <w:rsid w:val="18733510"/>
    <w:rsid w:val="18934C0E"/>
    <w:rsid w:val="18A8173A"/>
    <w:rsid w:val="18C272A1"/>
    <w:rsid w:val="19687E48"/>
    <w:rsid w:val="197811B7"/>
    <w:rsid w:val="1994473B"/>
    <w:rsid w:val="19B217F1"/>
    <w:rsid w:val="1A564145"/>
    <w:rsid w:val="1A9B5FFB"/>
    <w:rsid w:val="1AB86E7B"/>
    <w:rsid w:val="1AF8344E"/>
    <w:rsid w:val="1B3C77DE"/>
    <w:rsid w:val="1B6243AC"/>
    <w:rsid w:val="1BFD51C0"/>
    <w:rsid w:val="1C104B48"/>
    <w:rsid w:val="1C304666"/>
    <w:rsid w:val="1C4E5736"/>
    <w:rsid w:val="1C4E77C9"/>
    <w:rsid w:val="1C5B1EE6"/>
    <w:rsid w:val="1C6C270A"/>
    <w:rsid w:val="1CAB4C1C"/>
    <w:rsid w:val="1CC41839"/>
    <w:rsid w:val="1DBC211C"/>
    <w:rsid w:val="1DE06B47"/>
    <w:rsid w:val="1E4865C1"/>
    <w:rsid w:val="1E4E229E"/>
    <w:rsid w:val="1EA27958"/>
    <w:rsid w:val="1ECA75D3"/>
    <w:rsid w:val="1EF42220"/>
    <w:rsid w:val="1F2972D5"/>
    <w:rsid w:val="1FA2338F"/>
    <w:rsid w:val="1FDD6501"/>
    <w:rsid w:val="20146634"/>
    <w:rsid w:val="20956310"/>
    <w:rsid w:val="20A53730"/>
    <w:rsid w:val="20C462AC"/>
    <w:rsid w:val="20CF72A3"/>
    <w:rsid w:val="21C32E3D"/>
    <w:rsid w:val="21FE7F90"/>
    <w:rsid w:val="225D7CCF"/>
    <w:rsid w:val="22ED019C"/>
    <w:rsid w:val="23164638"/>
    <w:rsid w:val="2358363B"/>
    <w:rsid w:val="236B3896"/>
    <w:rsid w:val="23A93537"/>
    <w:rsid w:val="23CD7D95"/>
    <w:rsid w:val="23F4691F"/>
    <w:rsid w:val="242E1C8E"/>
    <w:rsid w:val="245A0637"/>
    <w:rsid w:val="247C0E9B"/>
    <w:rsid w:val="24D26ABE"/>
    <w:rsid w:val="24F02F91"/>
    <w:rsid w:val="259D30C5"/>
    <w:rsid w:val="25BA1A2C"/>
    <w:rsid w:val="25F42797"/>
    <w:rsid w:val="2613738E"/>
    <w:rsid w:val="265E11E3"/>
    <w:rsid w:val="266A005E"/>
    <w:rsid w:val="26F671E4"/>
    <w:rsid w:val="271D43D7"/>
    <w:rsid w:val="272D447F"/>
    <w:rsid w:val="27381FC1"/>
    <w:rsid w:val="27554102"/>
    <w:rsid w:val="275E288B"/>
    <w:rsid w:val="27625FD3"/>
    <w:rsid w:val="27E2526A"/>
    <w:rsid w:val="27F526CE"/>
    <w:rsid w:val="28832837"/>
    <w:rsid w:val="28943BC8"/>
    <w:rsid w:val="28CD5F1A"/>
    <w:rsid w:val="28F25CFA"/>
    <w:rsid w:val="28F7562B"/>
    <w:rsid w:val="28FB4CE8"/>
    <w:rsid w:val="29B9123E"/>
    <w:rsid w:val="29F714A0"/>
    <w:rsid w:val="2A332096"/>
    <w:rsid w:val="2A375015"/>
    <w:rsid w:val="2A8F792B"/>
    <w:rsid w:val="2ADA3391"/>
    <w:rsid w:val="2B1E2A5D"/>
    <w:rsid w:val="2B5B5A5F"/>
    <w:rsid w:val="2C365CCA"/>
    <w:rsid w:val="2C635208"/>
    <w:rsid w:val="2C701096"/>
    <w:rsid w:val="2D3C50F0"/>
    <w:rsid w:val="2D7E115B"/>
    <w:rsid w:val="2DED4CB9"/>
    <w:rsid w:val="2E2C5890"/>
    <w:rsid w:val="2E3F6F72"/>
    <w:rsid w:val="2E462E92"/>
    <w:rsid w:val="2E7035CF"/>
    <w:rsid w:val="2EAC037F"/>
    <w:rsid w:val="2EB72FAC"/>
    <w:rsid w:val="2EE1627B"/>
    <w:rsid w:val="2EED31D5"/>
    <w:rsid w:val="2F8F0D87"/>
    <w:rsid w:val="2F974A6C"/>
    <w:rsid w:val="2FBF6B3D"/>
    <w:rsid w:val="2FC8743B"/>
    <w:rsid w:val="30036D84"/>
    <w:rsid w:val="303C2B7A"/>
    <w:rsid w:val="304C4CF6"/>
    <w:rsid w:val="30534F57"/>
    <w:rsid w:val="30AE5544"/>
    <w:rsid w:val="3125260E"/>
    <w:rsid w:val="31A36F08"/>
    <w:rsid w:val="31B7372B"/>
    <w:rsid w:val="320E382B"/>
    <w:rsid w:val="321E77E6"/>
    <w:rsid w:val="32257CB8"/>
    <w:rsid w:val="322B530D"/>
    <w:rsid w:val="326276D3"/>
    <w:rsid w:val="32B819AE"/>
    <w:rsid w:val="32EA61E2"/>
    <w:rsid w:val="332326A6"/>
    <w:rsid w:val="33274478"/>
    <w:rsid w:val="3369704E"/>
    <w:rsid w:val="338C1E6E"/>
    <w:rsid w:val="33A84A12"/>
    <w:rsid w:val="33A900D1"/>
    <w:rsid w:val="33FB71D4"/>
    <w:rsid w:val="34090DF3"/>
    <w:rsid w:val="34713BFD"/>
    <w:rsid w:val="34A9783B"/>
    <w:rsid w:val="34EA0CC2"/>
    <w:rsid w:val="35231EE0"/>
    <w:rsid w:val="35656796"/>
    <w:rsid w:val="36E52394"/>
    <w:rsid w:val="372A40F6"/>
    <w:rsid w:val="37A97B52"/>
    <w:rsid w:val="37D58749"/>
    <w:rsid w:val="385C2B39"/>
    <w:rsid w:val="38AA0783"/>
    <w:rsid w:val="38AB7897"/>
    <w:rsid w:val="38E01717"/>
    <w:rsid w:val="393F42CA"/>
    <w:rsid w:val="39955083"/>
    <w:rsid w:val="3A02415D"/>
    <w:rsid w:val="3A1E0383"/>
    <w:rsid w:val="3A3951BD"/>
    <w:rsid w:val="3A5913BB"/>
    <w:rsid w:val="3A7539A1"/>
    <w:rsid w:val="3ACE09BD"/>
    <w:rsid w:val="3BB46B51"/>
    <w:rsid w:val="3BF13876"/>
    <w:rsid w:val="3C0D3412"/>
    <w:rsid w:val="3C2D0340"/>
    <w:rsid w:val="3C8545BF"/>
    <w:rsid w:val="3CB906D1"/>
    <w:rsid w:val="3CCB2319"/>
    <w:rsid w:val="3CDA144E"/>
    <w:rsid w:val="3D070029"/>
    <w:rsid w:val="3D744DD2"/>
    <w:rsid w:val="3DC123A8"/>
    <w:rsid w:val="3E614CE2"/>
    <w:rsid w:val="3E9867D6"/>
    <w:rsid w:val="3EB23790"/>
    <w:rsid w:val="3EDD1406"/>
    <w:rsid w:val="3EEA5740"/>
    <w:rsid w:val="3EF45B57"/>
    <w:rsid w:val="3F2F3033"/>
    <w:rsid w:val="3F316DAB"/>
    <w:rsid w:val="3F5F01EC"/>
    <w:rsid w:val="3FF22B11"/>
    <w:rsid w:val="402661E4"/>
    <w:rsid w:val="40693C1B"/>
    <w:rsid w:val="411B69D2"/>
    <w:rsid w:val="41A41AB6"/>
    <w:rsid w:val="42274495"/>
    <w:rsid w:val="422D2A6A"/>
    <w:rsid w:val="42D566A4"/>
    <w:rsid w:val="42F87FBC"/>
    <w:rsid w:val="435455E4"/>
    <w:rsid w:val="4387343D"/>
    <w:rsid w:val="440A7BCA"/>
    <w:rsid w:val="44174DDE"/>
    <w:rsid w:val="443469F5"/>
    <w:rsid w:val="445A7ADE"/>
    <w:rsid w:val="44B91AA5"/>
    <w:rsid w:val="44D908E9"/>
    <w:rsid w:val="45A656D1"/>
    <w:rsid w:val="462A05B7"/>
    <w:rsid w:val="463E1FC2"/>
    <w:rsid w:val="46537EC5"/>
    <w:rsid w:val="467F1C25"/>
    <w:rsid w:val="46AE1141"/>
    <w:rsid w:val="47226FD9"/>
    <w:rsid w:val="47236211"/>
    <w:rsid w:val="473F7B8B"/>
    <w:rsid w:val="47D31BFA"/>
    <w:rsid w:val="48071448"/>
    <w:rsid w:val="4820176A"/>
    <w:rsid w:val="482D63C3"/>
    <w:rsid w:val="4858130D"/>
    <w:rsid w:val="486432C4"/>
    <w:rsid w:val="4866152A"/>
    <w:rsid w:val="488E161A"/>
    <w:rsid w:val="48B14AB8"/>
    <w:rsid w:val="48E768B2"/>
    <w:rsid w:val="4924101A"/>
    <w:rsid w:val="493376D1"/>
    <w:rsid w:val="4967698D"/>
    <w:rsid w:val="49C03205"/>
    <w:rsid w:val="4A5E47CC"/>
    <w:rsid w:val="4B1E0E0F"/>
    <w:rsid w:val="4B581E0C"/>
    <w:rsid w:val="4B834E50"/>
    <w:rsid w:val="4BF2341E"/>
    <w:rsid w:val="4C194E4E"/>
    <w:rsid w:val="4C226E64"/>
    <w:rsid w:val="4C2A7A0F"/>
    <w:rsid w:val="4C7455DA"/>
    <w:rsid w:val="4C7C58CE"/>
    <w:rsid w:val="4D422183"/>
    <w:rsid w:val="4D4E0B28"/>
    <w:rsid w:val="4D500845"/>
    <w:rsid w:val="4D576267"/>
    <w:rsid w:val="4D866514"/>
    <w:rsid w:val="4D9554C7"/>
    <w:rsid w:val="4E50772E"/>
    <w:rsid w:val="4E582D98"/>
    <w:rsid w:val="4ECC43FA"/>
    <w:rsid w:val="4F071432"/>
    <w:rsid w:val="4F2935FA"/>
    <w:rsid w:val="4F4246BC"/>
    <w:rsid w:val="4F7F5E7F"/>
    <w:rsid w:val="4FC6709B"/>
    <w:rsid w:val="4FC75F71"/>
    <w:rsid w:val="50156FEB"/>
    <w:rsid w:val="50164467"/>
    <w:rsid w:val="501A589C"/>
    <w:rsid w:val="502F666A"/>
    <w:rsid w:val="503F37F9"/>
    <w:rsid w:val="50632B3C"/>
    <w:rsid w:val="508165BC"/>
    <w:rsid w:val="50E13A61"/>
    <w:rsid w:val="5125778F"/>
    <w:rsid w:val="51475FBA"/>
    <w:rsid w:val="517E54C0"/>
    <w:rsid w:val="51E23F34"/>
    <w:rsid w:val="522A41E2"/>
    <w:rsid w:val="52381FFF"/>
    <w:rsid w:val="528C1D2A"/>
    <w:rsid w:val="52C72C4E"/>
    <w:rsid w:val="53126FF6"/>
    <w:rsid w:val="53206AC2"/>
    <w:rsid w:val="533B1B4E"/>
    <w:rsid w:val="5361128F"/>
    <w:rsid w:val="538C4429"/>
    <w:rsid w:val="53D31D87"/>
    <w:rsid w:val="545D263C"/>
    <w:rsid w:val="54C067AF"/>
    <w:rsid w:val="55482300"/>
    <w:rsid w:val="556C6E31"/>
    <w:rsid w:val="557B612F"/>
    <w:rsid w:val="56134F75"/>
    <w:rsid w:val="561E4804"/>
    <w:rsid w:val="56933A4F"/>
    <w:rsid w:val="56AE5739"/>
    <w:rsid w:val="57125865"/>
    <w:rsid w:val="57853794"/>
    <w:rsid w:val="58097C1C"/>
    <w:rsid w:val="583628E4"/>
    <w:rsid w:val="585B7D9E"/>
    <w:rsid w:val="59351F3A"/>
    <w:rsid w:val="595B2929"/>
    <w:rsid w:val="598658F3"/>
    <w:rsid w:val="599E30B7"/>
    <w:rsid w:val="59B12B6A"/>
    <w:rsid w:val="5A6951F3"/>
    <w:rsid w:val="5A80361B"/>
    <w:rsid w:val="5B0267DA"/>
    <w:rsid w:val="5BD22D1C"/>
    <w:rsid w:val="5C5A1297"/>
    <w:rsid w:val="5C886465"/>
    <w:rsid w:val="5C9E759C"/>
    <w:rsid w:val="5CB865EA"/>
    <w:rsid w:val="5CCC3817"/>
    <w:rsid w:val="5D123920"/>
    <w:rsid w:val="5D186A5C"/>
    <w:rsid w:val="5D2B6790"/>
    <w:rsid w:val="5D45288A"/>
    <w:rsid w:val="5DA47796"/>
    <w:rsid w:val="5DAB78D0"/>
    <w:rsid w:val="5DBC48F0"/>
    <w:rsid w:val="5DD5494D"/>
    <w:rsid w:val="5E062D59"/>
    <w:rsid w:val="5E53364A"/>
    <w:rsid w:val="5E5552D7"/>
    <w:rsid w:val="5EAA5DDA"/>
    <w:rsid w:val="5EBC3222"/>
    <w:rsid w:val="5EBC4E6C"/>
    <w:rsid w:val="5F7F7267"/>
    <w:rsid w:val="600F4147"/>
    <w:rsid w:val="607C55C8"/>
    <w:rsid w:val="608202F2"/>
    <w:rsid w:val="610B1F80"/>
    <w:rsid w:val="616463E2"/>
    <w:rsid w:val="617B2147"/>
    <w:rsid w:val="61EF2FBD"/>
    <w:rsid w:val="62311839"/>
    <w:rsid w:val="62337AD4"/>
    <w:rsid w:val="624464AF"/>
    <w:rsid w:val="62A20968"/>
    <w:rsid w:val="62E46295"/>
    <w:rsid w:val="63367C3C"/>
    <w:rsid w:val="63B9310D"/>
    <w:rsid w:val="63D612D0"/>
    <w:rsid w:val="64340620"/>
    <w:rsid w:val="646D5B70"/>
    <w:rsid w:val="64716B67"/>
    <w:rsid w:val="650366F9"/>
    <w:rsid w:val="650F7304"/>
    <w:rsid w:val="65906216"/>
    <w:rsid w:val="65987674"/>
    <w:rsid w:val="65A879C3"/>
    <w:rsid w:val="65EA0A73"/>
    <w:rsid w:val="665F58F8"/>
    <w:rsid w:val="66905374"/>
    <w:rsid w:val="66A02873"/>
    <w:rsid w:val="66A677A4"/>
    <w:rsid w:val="66B401A1"/>
    <w:rsid w:val="673236E3"/>
    <w:rsid w:val="673426E5"/>
    <w:rsid w:val="6772125A"/>
    <w:rsid w:val="67923C47"/>
    <w:rsid w:val="67FC33D8"/>
    <w:rsid w:val="68060525"/>
    <w:rsid w:val="681349F0"/>
    <w:rsid w:val="6864524C"/>
    <w:rsid w:val="688558EE"/>
    <w:rsid w:val="68F41007"/>
    <w:rsid w:val="69603C65"/>
    <w:rsid w:val="696619AC"/>
    <w:rsid w:val="69FE6CB7"/>
    <w:rsid w:val="6ACB639A"/>
    <w:rsid w:val="6AF479C3"/>
    <w:rsid w:val="6AFC21C4"/>
    <w:rsid w:val="6BF216CE"/>
    <w:rsid w:val="6BFA3459"/>
    <w:rsid w:val="6C00528B"/>
    <w:rsid w:val="6C2E1D09"/>
    <w:rsid w:val="6C3C0A7A"/>
    <w:rsid w:val="6C922F00"/>
    <w:rsid w:val="6CBD4C11"/>
    <w:rsid w:val="6CBF944D"/>
    <w:rsid w:val="6D091226"/>
    <w:rsid w:val="6D175900"/>
    <w:rsid w:val="6D7F25D7"/>
    <w:rsid w:val="6DBE0F5A"/>
    <w:rsid w:val="6DD15131"/>
    <w:rsid w:val="6DD32ABA"/>
    <w:rsid w:val="6E0313AF"/>
    <w:rsid w:val="6F7116F9"/>
    <w:rsid w:val="6F800BBD"/>
    <w:rsid w:val="70360FCC"/>
    <w:rsid w:val="70387DC8"/>
    <w:rsid w:val="705248E4"/>
    <w:rsid w:val="705939D2"/>
    <w:rsid w:val="70947912"/>
    <w:rsid w:val="70AA0C17"/>
    <w:rsid w:val="70AB3A18"/>
    <w:rsid w:val="70FA499F"/>
    <w:rsid w:val="713C6D66"/>
    <w:rsid w:val="715F4092"/>
    <w:rsid w:val="715F4802"/>
    <w:rsid w:val="7167373A"/>
    <w:rsid w:val="718A4090"/>
    <w:rsid w:val="71AD37BF"/>
    <w:rsid w:val="71F14869"/>
    <w:rsid w:val="71F3347A"/>
    <w:rsid w:val="720A62E5"/>
    <w:rsid w:val="722D49B0"/>
    <w:rsid w:val="729606EE"/>
    <w:rsid w:val="72B76CE6"/>
    <w:rsid w:val="72C54B39"/>
    <w:rsid w:val="73646C14"/>
    <w:rsid w:val="7371350F"/>
    <w:rsid w:val="74365888"/>
    <w:rsid w:val="74B9247B"/>
    <w:rsid w:val="74C92FE7"/>
    <w:rsid w:val="74F4211A"/>
    <w:rsid w:val="75B6631D"/>
    <w:rsid w:val="75DF4163"/>
    <w:rsid w:val="760E3CC6"/>
    <w:rsid w:val="768712BC"/>
    <w:rsid w:val="76945321"/>
    <w:rsid w:val="769C5B5F"/>
    <w:rsid w:val="76A900F9"/>
    <w:rsid w:val="77185B7F"/>
    <w:rsid w:val="772D21FB"/>
    <w:rsid w:val="774D4A9D"/>
    <w:rsid w:val="77825EE6"/>
    <w:rsid w:val="779B4BC0"/>
    <w:rsid w:val="77BD2282"/>
    <w:rsid w:val="77C42942"/>
    <w:rsid w:val="77DD215A"/>
    <w:rsid w:val="784753ED"/>
    <w:rsid w:val="78777533"/>
    <w:rsid w:val="788A485A"/>
    <w:rsid w:val="78966EB8"/>
    <w:rsid w:val="78A4765D"/>
    <w:rsid w:val="78A84CE1"/>
    <w:rsid w:val="78C95A8F"/>
    <w:rsid w:val="78EE2BF6"/>
    <w:rsid w:val="79344F10"/>
    <w:rsid w:val="799E38E1"/>
    <w:rsid w:val="79D61CE5"/>
    <w:rsid w:val="7A293BFF"/>
    <w:rsid w:val="7A622283"/>
    <w:rsid w:val="7A784F17"/>
    <w:rsid w:val="7A8D0BA8"/>
    <w:rsid w:val="7A9F54BE"/>
    <w:rsid w:val="7AD85D51"/>
    <w:rsid w:val="7B636FD2"/>
    <w:rsid w:val="7BB816DF"/>
    <w:rsid w:val="7BD80EDF"/>
    <w:rsid w:val="7BF263B1"/>
    <w:rsid w:val="7C227F91"/>
    <w:rsid w:val="7C6F7FEF"/>
    <w:rsid w:val="7D053387"/>
    <w:rsid w:val="7D2E4643"/>
    <w:rsid w:val="7D2F37A5"/>
    <w:rsid w:val="7D603737"/>
    <w:rsid w:val="7D7F35B4"/>
    <w:rsid w:val="7D860DE9"/>
    <w:rsid w:val="7DB72C8B"/>
    <w:rsid w:val="7E171AB0"/>
    <w:rsid w:val="7E3F7E95"/>
    <w:rsid w:val="7E6827AC"/>
    <w:rsid w:val="7FAF4BA7"/>
    <w:rsid w:val="7FBEE67F"/>
    <w:rsid w:val="7FF761D8"/>
    <w:rsid w:val="BFE078B5"/>
    <w:rsid w:val="CF7BB8EC"/>
    <w:rsid w:val="DDEFCBEA"/>
    <w:rsid w:val="DF0FDA34"/>
    <w:rsid w:val="EFF6882B"/>
    <w:rsid w:val="FFDFCD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iPriority="9" w:semiHidden="0" w:name="heading 3" w:locked="1"/>
    <w:lsdException w:qFormat="1" w:unhideWhenUsed="0" w:uiPriority="0" w:semiHidden="0"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qFormat="1" w:unhideWhenUsed="0" w:uiPriority="99" w:name="annotation text"/>
    <w:lsdException w:qFormat="1" w:unhideWhenUsed="0" w:uiPriority="0" w:semiHidden="0" w:name="header"/>
    <w:lsdException w:qFormat="1" w:unhideWhenUsed="0" w:uiPriority="0"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qFormat="1" w:unhideWhenUsed="0" w:uiPriority="99" w:name="annotation reference"/>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qFormat="1" w:uiPriority="1" w:name="Default Paragraph Font"/>
    <w:lsdException w:qFormat="1" w:unhideWhenUsed="0" w:uiPriority="99" w:semiHidden="0" w:name="Body Text"/>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qFormat="1" w:unhideWhenUsed="0" w:uiPriority="99" w:semiHidden="0" w:name="Date"/>
    <w:lsdException w:qFormat="1" w:unhideWhenUsed="0" w:uiPriority="99" w:semiHidden="0" w:name="Body Text First Indent"/>
    <w:lsdException w:qFormat="1" w:unhideWhenUsed="0" w:uiPriority="99" w:semiHidden="0" w:name="Body Text First Indent 2" w:locked="1"/>
    <w:lsdException w:uiPriority="99" w:name="Note Heading" w:locked="1"/>
    <w:lsdException w:uiPriority="99" w:name="Body Text 2" w:locked="1"/>
    <w:lsdException w:uiPriority="99" w:name="Body Text 3" w:locked="1"/>
    <w:lsdException w:qFormat="1" w:unhideWhenUsed="0" w:uiPriority="0" w:semiHidden="0" w:name="Body Text Indent 2" w:locked="1"/>
    <w:lsdException w:uiPriority="99" w:name="Body Text Indent 3" w:locked="1"/>
    <w:lsdException w:uiPriority="99" w:name="Block Text" w:locked="1"/>
    <w:lsdException w:qFormat="1" w:unhideWhenUsed="0" w:uiPriority="99" w:name="Hyperlink" w:locked="1"/>
    <w:lsdException w:uiPriority="99" w:name="FollowedHyperlink" w:locked="1"/>
    <w:lsdException w:qFormat="1" w:unhideWhenUsed="0" w:uiPriority="99" w:semiHidden="0" w:name="Strong"/>
    <w:lsdException w:qFormat="1" w:unhideWhenUsed="0" w:uiPriority="99" w:semiHidden="0" w:name="Emphasis"/>
    <w:lsdException w:uiPriority="99" w:name="Document Map" w:locked="1"/>
    <w:lsdException w:qFormat="1" w:unhideWhenUsed="0" w:uiPriority="99" w:semiHidden="0" w:name="Plain Text"/>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qFormat="1" w:unhideWhenUsed="0" w:uiPriority="99"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nhideWhenUsed="0" w:uiPriority="99" w:semiHidden="0" w:name="Table Subtle 1" w:locked="1"/>
    <w:lsdException w:uiPriority="99" w:name="Table Subtle 2" w:locked="1"/>
    <w:lsdException w:uiPriority="99" w:name="Table Web 1" w:locked="1"/>
    <w:lsdException w:unhideWhenUsed="0" w:uiPriority="99" w:semiHidden="0" w:name="Table Web 2" w:locked="1"/>
    <w:lsdException w:unhideWhenUsed="0" w:uiPriority="99" w:semiHidden="0" w:name="Table Web 3" w:locked="1"/>
    <w:lsdException w:qFormat="1" w:unhideWhenUsed="0" w:uiPriority="99" w:name="Balloon Text"/>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Calibri"/>
      <w:kern w:val="2"/>
      <w:sz w:val="21"/>
      <w:szCs w:val="21"/>
      <w:lang w:val="en-US" w:eastAsia="zh-CN" w:bidi="ar-SA"/>
    </w:rPr>
  </w:style>
  <w:style w:type="paragraph" w:styleId="6">
    <w:name w:val="heading 1"/>
    <w:basedOn w:val="1"/>
    <w:next w:val="1"/>
    <w:link w:val="27"/>
    <w:qFormat/>
    <w:uiPriority w:val="99"/>
    <w:pPr>
      <w:keepNext/>
      <w:keepLines/>
      <w:spacing w:line="576" w:lineRule="auto"/>
      <w:outlineLvl w:val="0"/>
    </w:pPr>
    <w:rPr>
      <w:b/>
      <w:kern w:val="44"/>
      <w:sz w:val="44"/>
    </w:rPr>
  </w:style>
  <w:style w:type="paragraph" w:styleId="7">
    <w:name w:val="heading 2"/>
    <w:basedOn w:val="1"/>
    <w:next w:val="1"/>
    <w:link w:val="28"/>
    <w:qFormat/>
    <w:uiPriority w:val="99"/>
    <w:pPr>
      <w:keepNext/>
      <w:numPr>
        <w:ilvl w:val="1"/>
        <w:numId w:val="1"/>
      </w:numPr>
      <w:spacing w:before="240" w:after="240"/>
      <w:outlineLvl w:val="1"/>
    </w:pPr>
    <w:rPr>
      <w:rFonts w:ascii="Arial" w:hAnsi="Arial" w:eastAsia="黑体" w:cs="Times New Roman"/>
      <w:sz w:val="24"/>
      <w:szCs w:val="24"/>
    </w:rPr>
  </w:style>
  <w:style w:type="paragraph" w:styleId="8">
    <w:name w:val="heading 3"/>
    <w:basedOn w:val="1"/>
    <w:next w:val="1"/>
    <w:unhideWhenUsed/>
    <w:qFormat/>
    <w:locked/>
    <w:uiPriority w:val="9"/>
    <w:pPr>
      <w:keepNext/>
      <w:keepLines/>
      <w:spacing w:before="260" w:after="260" w:line="413" w:lineRule="auto"/>
      <w:outlineLvl w:val="2"/>
    </w:pPr>
    <w:rPr>
      <w:b/>
      <w:sz w:val="32"/>
    </w:rPr>
  </w:style>
  <w:style w:type="paragraph" w:styleId="9">
    <w:name w:val="heading 4"/>
    <w:basedOn w:val="1"/>
    <w:next w:val="1"/>
    <w:qFormat/>
    <w:locked/>
    <w:uiPriority w:val="0"/>
    <w:pPr>
      <w:spacing w:before="280" w:after="290" w:line="376" w:lineRule="auto"/>
      <w:outlineLvl w:val="3"/>
    </w:pPr>
    <w:rPr>
      <w:rFonts w:ascii="Arial" w:eastAsia="黑体"/>
      <w:b/>
      <w:sz w:val="28"/>
    </w:rPr>
  </w:style>
  <w:style w:type="character" w:default="1" w:styleId="21">
    <w:name w:val="Default Paragraph Font"/>
    <w:semiHidden/>
    <w:unhideWhenUsed/>
    <w:qFormat/>
    <w:uiPriority w:val="1"/>
  </w:style>
  <w:style w:type="table" w:default="1" w:styleId="19">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1"/>
    <w:link w:val="30"/>
    <w:qFormat/>
    <w:locked/>
    <w:uiPriority w:val="99"/>
    <w:pPr>
      <w:autoSpaceDE w:val="0"/>
      <w:autoSpaceDN w:val="0"/>
      <w:adjustRightInd w:val="0"/>
      <w:jc w:val="left"/>
    </w:pPr>
    <w:rPr>
      <w:kern w:val="0"/>
    </w:rPr>
  </w:style>
  <w:style w:type="paragraph" w:styleId="3">
    <w:name w:val="Body Text Indent"/>
    <w:basedOn w:val="1"/>
    <w:next w:val="4"/>
    <w:link w:val="29"/>
    <w:qFormat/>
    <w:uiPriority w:val="99"/>
    <w:pPr>
      <w:spacing w:after="120"/>
      <w:ind w:left="420" w:leftChars="200"/>
    </w:pPr>
  </w:style>
  <w:style w:type="paragraph" w:styleId="4">
    <w:name w:val="annotation subject"/>
    <w:basedOn w:val="5"/>
    <w:next w:val="1"/>
    <w:link w:val="38"/>
    <w:semiHidden/>
    <w:qFormat/>
    <w:uiPriority w:val="99"/>
    <w:rPr>
      <w:b/>
      <w:bCs/>
    </w:rPr>
  </w:style>
  <w:style w:type="paragraph" w:styleId="5">
    <w:name w:val="annotation text"/>
    <w:basedOn w:val="1"/>
    <w:link w:val="31"/>
    <w:semiHidden/>
    <w:qFormat/>
    <w:uiPriority w:val="99"/>
    <w:pPr>
      <w:jc w:val="left"/>
    </w:pPr>
  </w:style>
  <w:style w:type="paragraph" w:styleId="10">
    <w:name w:val="Body Text"/>
    <w:basedOn w:val="1"/>
    <w:link w:val="32"/>
    <w:qFormat/>
    <w:uiPriority w:val="99"/>
    <w:pPr>
      <w:spacing w:after="120"/>
    </w:pPr>
  </w:style>
  <w:style w:type="paragraph" w:styleId="11">
    <w:name w:val="Plain Text"/>
    <w:basedOn w:val="1"/>
    <w:link w:val="33"/>
    <w:qFormat/>
    <w:uiPriority w:val="99"/>
    <w:rPr>
      <w:rFonts w:ascii="宋体" w:hAnsi="Courier New" w:cs="宋体"/>
    </w:rPr>
  </w:style>
  <w:style w:type="paragraph" w:styleId="12">
    <w:name w:val="Date"/>
    <w:basedOn w:val="1"/>
    <w:next w:val="1"/>
    <w:link w:val="34"/>
    <w:qFormat/>
    <w:uiPriority w:val="99"/>
    <w:rPr>
      <w:sz w:val="24"/>
      <w:szCs w:val="24"/>
    </w:rPr>
  </w:style>
  <w:style w:type="paragraph" w:styleId="13">
    <w:name w:val="Body Text Indent 2"/>
    <w:basedOn w:val="1"/>
    <w:qFormat/>
    <w:locked/>
    <w:uiPriority w:val="0"/>
    <w:pPr>
      <w:spacing w:after="120" w:line="480" w:lineRule="auto"/>
      <w:ind w:left="420" w:leftChars="200"/>
    </w:pPr>
  </w:style>
  <w:style w:type="paragraph" w:styleId="14">
    <w:name w:val="Balloon Text"/>
    <w:basedOn w:val="1"/>
    <w:link w:val="35"/>
    <w:semiHidden/>
    <w:qFormat/>
    <w:uiPriority w:val="99"/>
    <w:rPr>
      <w:sz w:val="18"/>
      <w:szCs w:val="18"/>
    </w:rPr>
  </w:style>
  <w:style w:type="paragraph" w:styleId="15">
    <w:name w:val="footer"/>
    <w:basedOn w:val="1"/>
    <w:link w:val="36"/>
    <w:qFormat/>
    <w:uiPriority w:val="0"/>
    <w:pPr>
      <w:tabs>
        <w:tab w:val="center" w:pos="4153"/>
        <w:tab w:val="right" w:pos="8306"/>
      </w:tabs>
      <w:snapToGrid w:val="0"/>
      <w:jc w:val="left"/>
    </w:pPr>
    <w:rPr>
      <w:sz w:val="18"/>
      <w:szCs w:val="18"/>
    </w:rPr>
  </w:style>
  <w:style w:type="paragraph" w:styleId="16">
    <w:name w:val="header"/>
    <w:basedOn w:val="1"/>
    <w:link w:val="37"/>
    <w:qFormat/>
    <w:uiPriority w:val="0"/>
    <w:pPr>
      <w:pBdr>
        <w:bottom w:val="single" w:color="auto" w:sz="6" w:space="1"/>
      </w:pBdr>
      <w:tabs>
        <w:tab w:val="center" w:pos="4153"/>
        <w:tab w:val="right" w:pos="8306"/>
      </w:tabs>
      <w:snapToGrid w:val="0"/>
      <w:jc w:val="center"/>
    </w:pPr>
    <w:rPr>
      <w:sz w:val="18"/>
      <w:szCs w:val="18"/>
    </w:rPr>
  </w:style>
  <w:style w:type="paragraph" w:styleId="17">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paragraph" w:styleId="18">
    <w:name w:val="Body Text First Indent"/>
    <w:basedOn w:val="10"/>
    <w:link w:val="39"/>
    <w:qFormat/>
    <w:uiPriority w:val="99"/>
    <w:pPr>
      <w:ind w:firstLine="420" w:firstLineChars="100"/>
    </w:pPr>
  </w:style>
  <w:style w:type="table" w:styleId="20">
    <w:name w:val="Table Grid"/>
    <w:basedOn w:val="19"/>
    <w:qFormat/>
    <w:uiPriority w:val="99"/>
    <w:pPr>
      <w:widowControl w:val="0"/>
      <w:jc w:val="both"/>
    </w:pPr>
    <w:rPr>
      <w:rFonts w:cs="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2">
    <w:name w:val="Strong"/>
    <w:qFormat/>
    <w:uiPriority w:val="99"/>
    <w:rPr>
      <w:rFonts w:cs="Times New Roman"/>
      <w:b/>
      <w:bCs/>
    </w:rPr>
  </w:style>
  <w:style w:type="character" w:styleId="23">
    <w:name w:val="page number"/>
    <w:qFormat/>
    <w:uiPriority w:val="99"/>
    <w:rPr>
      <w:rFonts w:cs="Times New Roman"/>
    </w:rPr>
  </w:style>
  <w:style w:type="character" w:styleId="24">
    <w:name w:val="Emphasis"/>
    <w:qFormat/>
    <w:uiPriority w:val="99"/>
    <w:rPr>
      <w:rFonts w:ascii="Times New Roman" w:hAnsi="Times New Roman" w:eastAsia="宋体" w:cs="Times New Roman"/>
    </w:rPr>
  </w:style>
  <w:style w:type="character" w:styleId="25">
    <w:name w:val="Hyperlink"/>
    <w:semiHidden/>
    <w:qFormat/>
    <w:locked/>
    <w:uiPriority w:val="99"/>
    <w:rPr>
      <w:rFonts w:cs="Times New Roman"/>
      <w:color w:val="0000FF"/>
      <w:u w:val="single"/>
    </w:rPr>
  </w:style>
  <w:style w:type="character" w:styleId="26">
    <w:name w:val="annotation reference"/>
    <w:semiHidden/>
    <w:qFormat/>
    <w:uiPriority w:val="99"/>
    <w:rPr>
      <w:rFonts w:cs="Times New Roman"/>
      <w:sz w:val="21"/>
      <w:szCs w:val="21"/>
    </w:rPr>
  </w:style>
  <w:style w:type="character" w:customStyle="1" w:styleId="27">
    <w:name w:val="标题 1 字符"/>
    <w:link w:val="6"/>
    <w:qFormat/>
    <w:uiPriority w:val="9"/>
    <w:rPr>
      <w:rFonts w:cs="Calibri"/>
      <w:b/>
      <w:bCs/>
      <w:kern w:val="44"/>
      <w:sz w:val="44"/>
      <w:szCs w:val="44"/>
    </w:rPr>
  </w:style>
  <w:style w:type="character" w:customStyle="1" w:styleId="28">
    <w:name w:val="标题 2 字符"/>
    <w:link w:val="7"/>
    <w:semiHidden/>
    <w:qFormat/>
    <w:uiPriority w:val="9"/>
    <w:rPr>
      <w:rFonts w:ascii="Cambria" w:hAnsi="Cambria" w:eastAsia="宋体" w:cs="Times New Roman"/>
      <w:b/>
      <w:bCs/>
      <w:sz w:val="32"/>
      <w:szCs w:val="32"/>
    </w:rPr>
  </w:style>
  <w:style w:type="character" w:customStyle="1" w:styleId="29">
    <w:name w:val="正文文本缩进 字符"/>
    <w:link w:val="3"/>
    <w:semiHidden/>
    <w:qFormat/>
    <w:locked/>
    <w:uiPriority w:val="99"/>
    <w:rPr>
      <w:rFonts w:cs="Times New Roman"/>
      <w:sz w:val="21"/>
      <w:szCs w:val="21"/>
    </w:rPr>
  </w:style>
  <w:style w:type="character" w:customStyle="1" w:styleId="30">
    <w:name w:val="正文文本首行缩进 2 字符"/>
    <w:link w:val="2"/>
    <w:qFormat/>
    <w:locked/>
    <w:uiPriority w:val="99"/>
    <w:rPr>
      <w:rFonts w:cs="Calibri"/>
    </w:rPr>
  </w:style>
  <w:style w:type="character" w:customStyle="1" w:styleId="31">
    <w:name w:val="批注文字 字符"/>
    <w:link w:val="5"/>
    <w:semiHidden/>
    <w:qFormat/>
    <w:locked/>
    <w:uiPriority w:val="99"/>
    <w:rPr>
      <w:rFonts w:cs="Times New Roman"/>
      <w:sz w:val="21"/>
      <w:szCs w:val="21"/>
    </w:rPr>
  </w:style>
  <w:style w:type="character" w:customStyle="1" w:styleId="32">
    <w:name w:val="正文文本 字符"/>
    <w:link w:val="10"/>
    <w:semiHidden/>
    <w:qFormat/>
    <w:locked/>
    <w:uiPriority w:val="99"/>
    <w:rPr>
      <w:rFonts w:cs="Times New Roman"/>
      <w:sz w:val="21"/>
      <w:szCs w:val="21"/>
    </w:rPr>
  </w:style>
  <w:style w:type="character" w:customStyle="1" w:styleId="33">
    <w:name w:val="纯文本 字符"/>
    <w:link w:val="11"/>
    <w:semiHidden/>
    <w:qFormat/>
    <w:locked/>
    <w:uiPriority w:val="99"/>
    <w:rPr>
      <w:rFonts w:ascii="宋体" w:hAnsi="Courier New" w:cs="宋体"/>
      <w:sz w:val="21"/>
      <w:szCs w:val="21"/>
    </w:rPr>
  </w:style>
  <w:style w:type="character" w:customStyle="1" w:styleId="34">
    <w:name w:val="日期 字符"/>
    <w:link w:val="12"/>
    <w:semiHidden/>
    <w:qFormat/>
    <w:locked/>
    <w:uiPriority w:val="99"/>
    <w:rPr>
      <w:rFonts w:cs="Times New Roman"/>
      <w:sz w:val="21"/>
      <w:szCs w:val="21"/>
    </w:rPr>
  </w:style>
  <w:style w:type="character" w:customStyle="1" w:styleId="35">
    <w:name w:val="批注框文本 字符"/>
    <w:link w:val="14"/>
    <w:semiHidden/>
    <w:qFormat/>
    <w:locked/>
    <w:uiPriority w:val="99"/>
    <w:rPr>
      <w:rFonts w:cs="Times New Roman"/>
      <w:sz w:val="2"/>
      <w:szCs w:val="2"/>
    </w:rPr>
  </w:style>
  <w:style w:type="character" w:customStyle="1" w:styleId="36">
    <w:name w:val="页脚 字符"/>
    <w:link w:val="15"/>
    <w:qFormat/>
    <w:locked/>
    <w:uiPriority w:val="0"/>
    <w:rPr>
      <w:rFonts w:cs="Times New Roman"/>
      <w:sz w:val="18"/>
      <w:szCs w:val="18"/>
    </w:rPr>
  </w:style>
  <w:style w:type="character" w:customStyle="1" w:styleId="37">
    <w:name w:val="页眉 字符"/>
    <w:link w:val="16"/>
    <w:qFormat/>
    <w:locked/>
    <w:uiPriority w:val="0"/>
    <w:rPr>
      <w:rFonts w:cs="Times New Roman"/>
      <w:sz w:val="18"/>
      <w:szCs w:val="18"/>
    </w:rPr>
  </w:style>
  <w:style w:type="character" w:customStyle="1" w:styleId="38">
    <w:name w:val="批注主题 字符"/>
    <w:link w:val="4"/>
    <w:semiHidden/>
    <w:qFormat/>
    <w:locked/>
    <w:uiPriority w:val="99"/>
    <w:rPr>
      <w:b/>
      <w:bCs/>
    </w:rPr>
  </w:style>
  <w:style w:type="character" w:customStyle="1" w:styleId="39">
    <w:name w:val="正文文本首行缩进 字符"/>
    <w:link w:val="18"/>
    <w:semiHidden/>
    <w:qFormat/>
    <w:locked/>
    <w:uiPriority w:val="99"/>
  </w:style>
  <w:style w:type="paragraph" w:customStyle="1" w:styleId="40">
    <w:name w:val="p0"/>
    <w:basedOn w:val="1"/>
    <w:qFormat/>
    <w:uiPriority w:val="99"/>
    <w:pPr>
      <w:widowControl/>
    </w:pPr>
    <w:rPr>
      <w:kern w:val="0"/>
    </w:rPr>
  </w:style>
  <w:style w:type="paragraph" w:customStyle="1" w:styleId="41">
    <w:name w:val="正文缩进(楷体)"/>
    <w:basedOn w:val="1"/>
    <w:qFormat/>
    <w:uiPriority w:val="99"/>
    <w:pPr>
      <w:widowControl/>
      <w:spacing w:line="420" w:lineRule="exact"/>
      <w:ind w:firstLine="200" w:firstLineChars="200"/>
      <w:jc w:val="left"/>
    </w:pPr>
    <w:rPr>
      <w:rFonts w:ascii="宋体" w:hAnsi="宋体" w:eastAsia="楷体_GB2312" w:cs="宋体"/>
      <w:kern w:val="0"/>
      <w:sz w:val="24"/>
      <w:szCs w:val="24"/>
    </w:rPr>
  </w:style>
  <w:style w:type="character" w:customStyle="1" w:styleId="42">
    <w:name w:val="纯文本 Char2"/>
    <w:qFormat/>
    <w:locked/>
    <w:uiPriority w:val="99"/>
    <w:rPr>
      <w:rFonts w:ascii="宋体" w:hAnsi="Courier New" w:eastAsia="宋体"/>
      <w:kern w:val="2"/>
      <w:sz w:val="21"/>
      <w:lang w:val="en-US" w:eastAsia="zh-CN"/>
    </w:rPr>
  </w:style>
  <w:style w:type="paragraph" w:customStyle="1" w:styleId="43">
    <w:name w:val="_Style 1"/>
    <w:basedOn w:val="1"/>
    <w:qFormat/>
    <w:uiPriority w:val="99"/>
    <w:pPr>
      <w:ind w:firstLine="420" w:firstLineChars="200"/>
    </w:pPr>
    <w:rPr>
      <w:szCs w:val="22"/>
    </w:rPr>
  </w:style>
  <w:style w:type="character" w:customStyle="1" w:styleId="44">
    <w:name w:val="apple-converted-space"/>
    <w:qFormat/>
    <w:uiPriority w:val="99"/>
    <w:rPr>
      <w:rFonts w:cs="Times New Roman"/>
    </w:rPr>
  </w:style>
  <w:style w:type="paragraph" w:customStyle="1" w:styleId="45">
    <w:name w:val="列出段落1"/>
    <w:basedOn w:val="1"/>
    <w:qFormat/>
    <w:uiPriority w:val="99"/>
    <w:pPr>
      <w:ind w:firstLine="420" w:firstLineChars="200"/>
    </w:pPr>
    <w:rPr>
      <w:szCs w:val="22"/>
    </w:rPr>
  </w:style>
  <w:style w:type="paragraph" w:customStyle="1" w:styleId="46">
    <w:name w:val="表内正文"/>
    <w:basedOn w:val="1"/>
    <w:qFormat/>
    <w:uiPriority w:val="99"/>
    <w:pPr>
      <w:spacing w:line="320" w:lineRule="exact"/>
    </w:pPr>
    <w:rPr>
      <w:rFonts w:ascii="??" w:hAnsi="??" w:eastAsia="仿宋"/>
      <w:sz w:val="24"/>
      <w:szCs w:val="22"/>
    </w:rPr>
  </w:style>
  <w:style w:type="paragraph" w:styleId="47">
    <w:name w:val="List Paragraph"/>
    <w:basedOn w:val="1"/>
    <w:qFormat/>
    <w:uiPriority w:val="99"/>
    <w:pPr>
      <w:ind w:firstLine="420" w:firstLineChars="200"/>
    </w:pPr>
  </w:style>
  <w:style w:type="character" w:customStyle="1" w:styleId="48">
    <w:name w:val="font01"/>
    <w:qFormat/>
    <w:uiPriority w:val="0"/>
    <w:rPr>
      <w:rFonts w:ascii="宋体" w:hAnsi="宋体" w:eastAsia="宋体" w:cs="宋体"/>
      <w:color w:val="000000"/>
      <w:sz w:val="21"/>
      <w:szCs w:val="21"/>
      <w:u w:val="none"/>
    </w:rPr>
  </w:style>
  <w:style w:type="character" w:customStyle="1" w:styleId="49">
    <w:name w:val="font61"/>
    <w:qFormat/>
    <w:uiPriority w:val="0"/>
    <w:rPr>
      <w:rFonts w:ascii="Times New Roman" w:hAnsi="Times New Roman" w:cs="Times New Roman"/>
      <w:color w:val="000000"/>
      <w:sz w:val="21"/>
      <w:szCs w:val="21"/>
      <w:u w:val="none"/>
    </w:rPr>
  </w:style>
  <w:style w:type="character" w:customStyle="1" w:styleId="50">
    <w:name w:val="font141"/>
    <w:qFormat/>
    <w:uiPriority w:val="0"/>
    <w:rPr>
      <w:rFonts w:hint="eastAsia" w:ascii="楷体" w:hAnsi="楷体" w:eastAsia="楷体" w:cs="楷体"/>
      <w:color w:val="000000"/>
      <w:sz w:val="20"/>
      <w:szCs w:val="20"/>
      <w:u w:val="none"/>
    </w:rPr>
  </w:style>
  <w:style w:type="character" w:customStyle="1" w:styleId="51">
    <w:name w:val="font131"/>
    <w:qFormat/>
    <w:uiPriority w:val="0"/>
    <w:rPr>
      <w:rFonts w:hint="eastAsia" w:ascii="楷体" w:hAnsi="楷体" w:eastAsia="楷体" w:cs="楷体"/>
      <w:color w:val="FF0000"/>
      <w:sz w:val="22"/>
      <w:szCs w:val="22"/>
      <w:u w:val="none"/>
    </w:rPr>
  </w:style>
  <w:style w:type="paragraph" w:customStyle="1" w:styleId="52">
    <w:name w:val="_Style 50"/>
    <w:semiHidden/>
    <w:qFormat/>
    <w:uiPriority w:val="99"/>
    <w:rPr>
      <w:rFonts w:ascii="Calibri" w:hAnsi="Calibri" w:eastAsia="宋体" w:cs="Calibri"/>
      <w:kern w:val="2"/>
      <w:sz w:val="21"/>
      <w:szCs w:val="21"/>
      <w:lang w:val="en-US" w:eastAsia="zh-CN" w:bidi="ar-SA"/>
    </w:rPr>
  </w:style>
  <w:style w:type="paragraph" w:customStyle="1" w:styleId="53">
    <w:name w:val="Normal_5_7"/>
    <w:qFormat/>
    <w:uiPriority w:val="0"/>
    <w:pPr>
      <w:widowControl w:val="0"/>
      <w:jc w:val="both"/>
    </w:pPr>
    <w:rPr>
      <w:rFonts w:ascii="Times New Roman" w:hAnsi="Times New Roman" w:eastAsia="宋体" w:cs="Times New Roman"/>
      <w:szCs w:val="24"/>
      <w:lang w:val="en-US" w:eastAsia="zh-CN" w:bidi="ar-SA"/>
    </w:rPr>
  </w:style>
  <w:style w:type="paragraph" w:customStyle="1" w:styleId="54">
    <w:name w:val="Normal_8"/>
    <w:qFormat/>
    <w:uiPriority w:val="0"/>
    <w:rPr>
      <w:rFonts w:ascii="Times New Roman" w:hAnsi="Times New Roman" w:eastAsia="Times New Roman" w:cs="Times New Roman"/>
      <w:sz w:val="24"/>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湖南天舟</Company>
  <Pages>50</Pages>
  <Words>4217</Words>
  <Characters>24039</Characters>
  <Lines>200</Lines>
  <Paragraphs>56</Paragraphs>
  <TotalTime>29</TotalTime>
  <ScaleCrop>false</ScaleCrop>
  <LinksUpToDate>false</LinksUpToDate>
  <CharactersWithSpaces>28200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2021-12-29T09:20:00Z</dcterms:created>
  <dc:creator>hp</dc:creator>
  <cp:lastModifiedBy>Athena</cp:lastModifiedBy>
  <cp:lastPrinted>2020-07-25T10:52:00Z</cp:lastPrinted>
  <dcterms:modified xsi:type="dcterms:W3CDTF">2021-12-30T07:11:32Z</dcterms:modified>
  <dc:title>芙蓉区政府采购</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16A9DF073B624EDB8EAA7E027BD02AEF</vt:lpwstr>
  </property>
</Properties>
</file>